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4A2A" w:rsidRDefault="001F2E10">
      <w:pPr>
        <w:pStyle w:val="Titre2"/>
        <w:keepNext w:val="0"/>
        <w:jc w:val="center"/>
      </w:pPr>
      <w:bookmarkStart w:id="0" w:name="_GoBack"/>
      <w:bookmarkEnd w:id="0"/>
      <w:r>
        <w:t>Règlement de Gouvernance</w:t>
      </w:r>
    </w:p>
    <w:p w:rsidR="00034A2A" w:rsidRDefault="00034A2A">
      <w:pPr>
        <w:pStyle w:val="Corpsdetexte"/>
        <w:jc w:val="center"/>
      </w:pPr>
    </w:p>
    <w:p w:rsidR="00034A2A" w:rsidRDefault="001F2E10">
      <w:pPr>
        <w:pStyle w:val="Titre1"/>
        <w:keepNext w:val="0"/>
        <w:rPr>
          <w:rFonts w:ascii="Calibri" w:hAnsi="Calibri"/>
          <w:sz w:val="28"/>
          <w:szCs w:val="28"/>
        </w:rPr>
      </w:pPr>
      <w:r>
        <w:rPr>
          <w:rFonts w:ascii="Calibri" w:hAnsi="Calibri"/>
          <w:sz w:val="28"/>
          <w:szCs w:val="28"/>
        </w:rPr>
        <w:t>PARTIE I : CADRE JURIDIQUE ET STATUTAIRE</w:t>
      </w:r>
    </w:p>
    <w:p w:rsidR="00034A2A" w:rsidRDefault="001F2E10">
      <w:pPr>
        <w:pStyle w:val="Titre3"/>
        <w:keepNext w:val="0"/>
      </w:pPr>
      <w:r>
        <w:t>Chapitre I : Dispositions Générales &amp; Objectifs Stratégiques</w:t>
      </w:r>
    </w:p>
    <w:p w:rsidR="00034A2A" w:rsidRDefault="001F2E10">
      <w:pPr>
        <w:pStyle w:val="Titre4"/>
        <w:keepNext w:val="0"/>
      </w:pPr>
      <w:r>
        <w:t>Article 1 : Objet et Cadre d'Application</w:t>
      </w:r>
    </w:p>
    <w:p w:rsidR="00034A2A" w:rsidRDefault="001F2E10">
      <w:pPr>
        <w:pStyle w:val="Corpsdetexte"/>
      </w:pPr>
      <w:r>
        <w:t xml:space="preserve">Le présent Règlement de Gouvernance et de Fonctionnement Intérieur a pour objet de </w:t>
      </w:r>
      <w:r>
        <w:t>définir les règles d'organisation, de gestion administrative, de transparence financière et de haute gouvernance au sein de la Fédération Interprofessionnelle Marocaine de la Rose à Parfum (FIMAROSE). Il vise à garantir une mise en œuvre rigoureuse, inclus</w:t>
      </w:r>
      <w:r>
        <w:t>ive et performante des objectifs consignés dans le Contrat-Programme 2022-2030 de la filière.</w:t>
      </w:r>
    </w:p>
    <w:p w:rsidR="00034A2A" w:rsidRDefault="001F2E10">
      <w:pPr>
        <w:pStyle w:val="Corpsdetexte"/>
        <w:rPr>
          <w:b/>
        </w:rPr>
      </w:pPr>
      <w:r>
        <w:rPr>
          <w:b/>
        </w:rPr>
        <w:t>Article 1 bis : Obligation d'Application aux Collèges Fondateurs</w:t>
      </w:r>
    </w:p>
    <w:p w:rsidR="00034A2A" w:rsidRDefault="001F2E10">
      <w:pPr>
        <w:pStyle w:val="Corpsdetexte"/>
      </w:pPr>
      <w:r>
        <w:t>« En leur qualité de piliers fondateurs de la Fédération Interprofessionnelle Marocaine de la Ros</w:t>
      </w:r>
      <w:r>
        <w:t>e à Parfum (FIMAROSE), l'</w:t>
      </w:r>
      <w:r>
        <w:rPr>
          <w:b/>
        </w:rPr>
        <w:t>Association Nationale des Producteurs de Rose à Parfum</w:t>
      </w:r>
      <w:r>
        <w:t xml:space="preserve"> (représentant le Collège Professionnel 1) et l'</w:t>
      </w:r>
      <w:r>
        <w:rPr>
          <w:b/>
        </w:rPr>
        <w:t>Association Nationale des Transformateurs de Rose à Parfum</w:t>
      </w:r>
      <w:r>
        <w:t xml:space="preserve"> (représentant le Collège Professionnel 2) sont soumises de plein droit</w:t>
      </w:r>
      <w:r>
        <w:t xml:space="preserve"> et impérativement aux dispositions du présent Règlement.</w:t>
      </w:r>
    </w:p>
    <w:p w:rsidR="00034A2A" w:rsidRDefault="001F2E10">
      <w:pPr>
        <w:pStyle w:val="Corpsdetexte"/>
      </w:pPr>
      <w:r>
        <w:t>Les deux associations susmentionnées s'engagent, sous peine de nullité et d'engagement de leur responsabilité réglementaire, à décliner, appliquer et garantir l'exécution des dispositions du présent</w:t>
      </w:r>
      <w:r>
        <w:t xml:space="preserve"> Règlement de Gouvernance </w:t>
      </w:r>
      <w:r>
        <w:rPr>
          <w:b/>
        </w:rPr>
        <w:t>au sein de leurs propres structures organisationnelles, de leurs instances décisionnelles et de leurs antennes locales et régionales</w:t>
      </w:r>
      <w:r>
        <w:t>, ainsi qu'à l'égard de l'ensemble de leurs membres et organisations affiliés. »</w:t>
      </w:r>
    </w:p>
    <w:p w:rsidR="00034A2A" w:rsidRDefault="001F2E10">
      <w:pPr>
        <w:pStyle w:val="Titre4"/>
        <w:keepNext w:val="0"/>
      </w:pPr>
      <w:r>
        <w:t>Article 2 : Référ</w:t>
      </w:r>
      <w:r>
        <w:t>entiel Légal et Normatif</w:t>
      </w:r>
    </w:p>
    <w:p w:rsidR="00034A2A" w:rsidRDefault="001F2E10">
      <w:pPr>
        <w:pStyle w:val="Corpsdetexte"/>
      </w:pPr>
      <w:r>
        <w:t xml:space="preserve">L’action de la FIMAROSE s’inscrit en stricte conformité avec le bloc de législation nationale et les </w:t>
      </w:r>
      <w:proofErr w:type="gramStart"/>
      <w:r>
        <w:t>standards</w:t>
      </w:r>
      <w:proofErr w:type="gramEnd"/>
      <w:r>
        <w:t xml:space="preserve"> internationaux suivants :</w:t>
      </w:r>
    </w:p>
    <w:p w:rsidR="00034A2A" w:rsidRDefault="001F2E10">
      <w:pPr>
        <w:pStyle w:val="Corpsdetexte"/>
        <w:numPr>
          <w:ilvl w:val="0"/>
          <w:numId w:val="1"/>
        </w:numPr>
        <w:tabs>
          <w:tab w:val="left" w:pos="0"/>
        </w:tabs>
      </w:pPr>
      <w:r>
        <w:t>Loi n° 03-12 relative aux interprofessions agricoles et halieutiques.</w:t>
      </w:r>
    </w:p>
    <w:p w:rsidR="00034A2A" w:rsidRDefault="001F2E10">
      <w:pPr>
        <w:pStyle w:val="Corpsdetexte"/>
        <w:numPr>
          <w:ilvl w:val="0"/>
          <w:numId w:val="1"/>
        </w:numPr>
        <w:tabs>
          <w:tab w:val="left" w:pos="0"/>
        </w:tabs>
      </w:pPr>
      <w:r>
        <w:t xml:space="preserve">Loi n° 04-12 relative à </w:t>
      </w:r>
      <w:r>
        <w:t>l'agrégation agricole, visant l’intégration des petits producteurs.</w:t>
      </w:r>
    </w:p>
    <w:p w:rsidR="00034A2A" w:rsidRDefault="001F2E10">
      <w:pPr>
        <w:pStyle w:val="Corpsdetexte"/>
        <w:numPr>
          <w:ilvl w:val="0"/>
          <w:numId w:val="1"/>
        </w:numPr>
        <w:tabs>
          <w:tab w:val="left" w:pos="0"/>
        </w:tabs>
        <w:spacing w:after="0"/>
      </w:pPr>
      <w:r>
        <w:t>Loi-cadre n° 09-21 relative à la protection sociale, assurant la couverture médicale et la retraite des agriculteurs.</w:t>
      </w:r>
    </w:p>
    <w:p w:rsidR="00034A2A" w:rsidRDefault="001F2E10">
      <w:pPr>
        <w:pStyle w:val="Corpsdetexte"/>
        <w:numPr>
          <w:ilvl w:val="0"/>
          <w:numId w:val="1"/>
        </w:numPr>
        <w:tabs>
          <w:tab w:val="left" w:pos="0"/>
        </w:tabs>
        <w:spacing w:after="0"/>
      </w:pPr>
      <w:r>
        <w:t>Loi n° 28-07 relative la sécurité sanitaire des produits alimentaires,</w:t>
      </w:r>
      <w:r>
        <w:t xml:space="preserve"> sous la supervision de l’ONSSA.</w:t>
      </w:r>
    </w:p>
    <w:p w:rsidR="00034A2A" w:rsidRDefault="001F2E10">
      <w:pPr>
        <w:pStyle w:val="Corpsdetexte"/>
        <w:numPr>
          <w:ilvl w:val="0"/>
          <w:numId w:val="1"/>
        </w:numPr>
        <w:tabs>
          <w:tab w:val="left" w:pos="0"/>
        </w:tabs>
        <w:spacing w:after="0"/>
      </w:pPr>
      <w:r>
        <w:t>Les cahiers des charges de :</w:t>
      </w:r>
    </w:p>
    <w:p w:rsidR="00034A2A" w:rsidRDefault="001F2E10">
      <w:pPr>
        <w:pStyle w:val="Corpsdetexte"/>
        <w:tabs>
          <w:tab w:val="left" w:pos="0"/>
        </w:tabs>
        <w:spacing w:after="0"/>
      </w:pPr>
      <w:r>
        <w:t xml:space="preserve">- l'Indication Géographique Protégée (IGP) "Rose de Kelaât M'gouna", </w:t>
      </w:r>
    </w:p>
    <w:p w:rsidR="00034A2A" w:rsidRDefault="001F2E10">
      <w:pPr>
        <w:pStyle w:val="Corpsdetexte"/>
        <w:tabs>
          <w:tab w:val="left" w:pos="0"/>
        </w:tabs>
        <w:spacing w:after="0"/>
      </w:pPr>
      <w:r>
        <w:t>- L’Apelation d’Origine Protégée (AOP) « Eau de rose kalaat Mgouna Dades </w:t>
      </w:r>
      <w:proofErr w:type="gramStart"/>
      <w:r>
        <w:t>» ,</w:t>
      </w:r>
      <w:proofErr w:type="gramEnd"/>
    </w:p>
    <w:p w:rsidR="00034A2A" w:rsidRDefault="001F2E10">
      <w:pPr>
        <w:pStyle w:val="Corpsdetexte"/>
        <w:tabs>
          <w:tab w:val="left" w:pos="0"/>
        </w:tabs>
        <w:spacing w:after="0"/>
      </w:pPr>
      <w:r>
        <w:t>- L’Apelation d’Origine Protégée (AOP) « Rose k</w:t>
      </w:r>
      <w:r>
        <w:t>alaat Mgouna Dades ».</w:t>
      </w:r>
    </w:p>
    <w:p w:rsidR="00034A2A" w:rsidRDefault="00034A2A">
      <w:pPr>
        <w:pStyle w:val="Corpsdetexte"/>
        <w:tabs>
          <w:tab w:val="left" w:pos="0"/>
        </w:tabs>
      </w:pPr>
    </w:p>
    <w:p w:rsidR="00034A2A" w:rsidRDefault="00034A2A">
      <w:pPr>
        <w:pStyle w:val="Titre3"/>
        <w:keepNext w:val="0"/>
      </w:pPr>
    </w:p>
    <w:p w:rsidR="00034A2A" w:rsidRDefault="00034A2A">
      <w:pPr>
        <w:pStyle w:val="Titre3"/>
      </w:pPr>
    </w:p>
    <w:p w:rsidR="00034A2A" w:rsidRDefault="001F2E10">
      <w:pPr>
        <w:pStyle w:val="Titre3"/>
        <w:rPr>
          <w:rFonts w:ascii="Calibri" w:hAnsi="Calibri"/>
        </w:rPr>
      </w:pPr>
      <w:r>
        <w:rPr>
          <w:rFonts w:ascii="Calibri" w:hAnsi="Calibri"/>
        </w:rPr>
        <w:t>Chapitre II : Droits, Obligations et Adhésion des Collèges</w: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3208"/>
        <w:gridCol w:w="3210"/>
        <w:gridCol w:w="3210"/>
      </w:tblGrid>
      <w:tr w:rsidR="00034A2A">
        <w:tc>
          <w:tcPr>
            <w:tcW w:w="9638" w:type="dxa"/>
            <w:gridSpan w:val="3"/>
            <w:tcBorders>
              <w:top w:val="single" w:sz="4" w:space="0" w:color="000000"/>
              <w:left w:val="single" w:sz="4" w:space="0" w:color="000000"/>
              <w:bottom w:val="single" w:sz="4" w:space="0" w:color="000000"/>
              <w:right w:val="single" w:sz="4" w:space="0" w:color="000000"/>
            </w:tcBorders>
            <w:vAlign w:val="center"/>
          </w:tcPr>
          <w:p w:rsidR="00034A2A" w:rsidRDefault="001F2E10">
            <w:pPr>
              <w:pStyle w:val="PreformattedText"/>
              <w:jc w:val="center"/>
            </w:pPr>
            <w:r>
              <w:rPr>
                <w:rStyle w:val="SourceText"/>
                <w:rFonts w:ascii="Calibri" w:hAnsi="Calibri"/>
                <w:b/>
                <w:bCs/>
                <w:sz w:val="24"/>
                <w:szCs w:val="24"/>
              </w:rPr>
              <w:t>FIMAROSE</w:t>
            </w:r>
            <w:r>
              <w:rPr>
                <w:rStyle w:val="SourceText"/>
                <w:rFonts w:ascii="Calibri" w:hAnsi="Calibri"/>
              </w:rPr>
              <w:t xml:space="preserve"> </w:t>
            </w:r>
          </w:p>
        </w:tc>
      </w:tr>
      <w:tr w:rsidR="00034A2A">
        <w:tc>
          <w:tcPr>
            <w:tcW w:w="9638" w:type="dxa"/>
            <w:gridSpan w:val="3"/>
            <w:tcBorders>
              <w:left w:val="single" w:sz="4" w:space="0" w:color="000000"/>
              <w:bottom w:val="single" w:sz="4" w:space="0" w:color="000000"/>
              <w:right w:val="single" w:sz="4" w:space="0" w:color="000000"/>
            </w:tcBorders>
          </w:tcPr>
          <w:p w:rsidR="00034A2A" w:rsidRDefault="00034A2A">
            <w:pPr>
              <w:pStyle w:val="TableContents"/>
              <w:rPr>
                <w:rFonts w:ascii="Calibri" w:hAnsi="Calibri"/>
              </w:rPr>
            </w:pPr>
          </w:p>
        </w:tc>
      </w:tr>
      <w:tr w:rsidR="00034A2A">
        <w:tc>
          <w:tcPr>
            <w:tcW w:w="3212" w:type="dxa"/>
            <w:tcBorders>
              <w:left w:val="single" w:sz="4" w:space="0" w:color="000000"/>
              <w:bottom w:val="single" w:sz="4" w:space="0" w:color="000000"/>
            </w:tcBorders>
          </w:tcPr>
          <w:p w:rsidR="00034A2A" w:rsidRDefault="001F2E10">
            <w:pPr>
              <w:pStyle w:val="PreformattedText"/>
              <w:jc w:val="center"/>
            </w:pPr>
            <w:r>
              <w:rPr>
                <w:rStyle w:val="SourceText"/>
                <w:rFonts w:ascii="Calibri" w:hAnsi="Calibri"/>
                <w:b/>
                <w:bCs/>
                <w:sz w:val="24"/>
                <w:szCs w:val="24"/>
              </w:rPr>
              <w:t xml:space="preserve">COLLÈGE 1  </w:t>
            </w:r>
          </w:p>
          <w:p w:rsidR="00034A2A" w:rsidRDefault="00034A2A">
            <w:pPr>
              <w:pStyle w:val="PreformattedText"/>
              <w:jc w:val="center"/>
              <w:rPr>
                <w:rFonts w:ascii="Calibri" w:hAnsi="Calibri"/>
                <w:b/>
                <w:bCs/>
                <w:sz w:val="24"/>
                <w:szCs w:val="24"/>
              </w:rPr>
            </w:pPr>
          </w:p>
          <w:p w:rsidR="00034A2A" w:rsidRDefault="001F2E10">
            <w:pPr>
              <w:pStyle w:val="PreformattedText"/>
              <w:jc w:val="center"/>
            </w:pPr>
            <w:r>
              <w:rPr>
                <w:rStyle w:val="SourceText"/>
                <w:rFonts w:ascii="Calibri" w:hAnsi="Calibri"/>
                <w:b/>
                <w:bCs/>
                <w:sz w:val="24"/>
                <w:szCs w:val="24"/>
              </w:rPr>
              <w:t>Production</w:t>
            </w:r>
          </w:p>
          <w:p w:rsidR="00034A2A" w:rsidRDefault="001F2E10">
            <w:pPr>
              <w:pStyle w:val="PreformattedText"/>
              <w:jc w:val="center"/>
            </w:pPr>
            <w:r>
              <w:rPr>
                <w:rStyle w:val="SourceText"/>
                <w:rFonts w:ascii="Calibri" w:hAnsi="Calibri"/>
                <w:b/>
                <w:bCs/>
                <w:sz w:val="24"/>
                <w:szCs w:val="24"/>
              </w:rPr>
              <w:t>(Coopératives</w:t>
            </w:r>
            <w:proofErr w:type="gramStart"/>
            <w:r>
              <w:rPr>
                <w:rStyle w:val="SourceText"/>
                <w:rFonts w:ascii="Calibri" w:hAnsi="Calibri"/>
                <w:b/>
                <w:bCs/>
                <w:sz w:val="24"/>
                <w:szCs w:val="24"/>
              </w:rPr>
              <w:t>,sociétés,Associations</w:t>
            </w:r>
            <w:proofErr w:type="gramEnd"/>
            <w:r>
              <w:rPr>
                <w:rStyle w:val="SourceText"/>
                <w:rFonts w:ascii="Calibri" w:hAnsi="Calibri"/>
                <w:b/>
                <w:bCs/>
                <w:sz w:val="24"/>
                <w:szCs w:val="24"/>
              </w:rPr>
              <w:t xml:space="preserve">  )</w:t>
            </w:r>
          </w:p>
        </w:tc>
        <w:tc>
          <w:tcPr>
            <w:tcW w:w="3213" w:type="dxa"/>
            <w:tcBorders>
              <w:top w:val="single" w:sz="4" w:space="0" w:color="000000"/>
              <w:left w:val="single" w:sz="4" w:space="0" w:color="000000"/>
              <w:bottom w:val="single" w:sz="4" w:space="0" w:color="000000"/>
            </w:tcBorders>
          </w:tcPr>
          <w:p w:rsidR="00034A2A" w:rsidRDefault="00034A2A">
            <w:pPr>
              <w:pStyle w:val="TableContents"/>
              <w:rPr>
                <w:rFonts w:ascii="Calibri" w:hAnsi="Calibri"/>
              </w:rPr>
            </w:pPr>
          </w:p>
        </w:tc>
        <w:tc>
          <w:tcPr>
            <w:tcW w:w="3213" w:type="dxa"/>
            <w:tcBorders>
              <w:left w:val="single" w:sz="4" w:space="0" w:color="000000"/>
              <w:bottom w:val="single" w:sz="4" w:space="0" w:color="000000"/>
              <w:right w:val="single" w:sz="4" w:space="0" w:color="000000"/>
            </w:tcBorders>
          </w:tcPr>
          <w:p w:rsidR="00034A2A" w:rsidRDefault="001F2E10">
            <w:pPr>
              <w:pStyle w:val="TableContents"/>
              <w:jc w:val="center"/>
            </w:pPr>
            <w:r>
              <w:rPr>
                <w:rStyle w:val="SourceText"/>
                <w:rFonts w:ascii="Calibri" w:hAnsi="Calibri"/>
              </w:rPr>
              <w:t xml:space="preserve"> </w:t>
            </w:r>
            <w:r>
              <w:rPr>
                <w:rStyle w:val="SourceText"/>
                <w:rFonts w:ascii="Calibri" w:hAnsi="Calibri"/>
                <w:b/>
                <w:bCs/>
              </w:rPr>
              <w:t xml:space="preserve">COLLÈGE 2      </w:t>
            </w:r>
          </w:p>
          <w:p w:rsidR="00034A2A" w:rsidRDefault="00034A2A">
            <w:pPr>
              <w:pStyle w:val="TableContents"/>
              <w:jc w:val="center"/>
              <w:rPr>
                <w:rFonts w:ascii="Calibri" w:hAnsi="Calibri"/>
                <w:b/>
                <w:bCs/>
              </w:rPr>
            </w:pPr>
          </w:p>
          <w:p w:rsidR="00034A2A" w:rsidRDefault="001F2E10">
            <w:pPr>
              <w:pStyle w:val="TableContents"/>
              <w:jc w:val="center"/>
            </w:pPr>
            <w:r>
              <w:rPr>
                <w:rStyle w:val="SourceText"/>
                <w:rFonts w:ascii="Calibri" w:hAnsi="Calibri"/>
                <w:b/>
                <w:bCs/>
              </w:rPr>
              <w:t xml:space="preserve">    Transformation                                &amp;</w:t>
            </w:r>
            <w:r>
              <w:rPr>
                <w:rStyle w:val="SourceText"/>
                <w:rFonts w:ascii="Calibri" w:hAnsi="Calibri"/>
                <w:b/>
                <w:bCs/>
              </w:rPr>
              <w:t xml:space="preserve"> Valorisation                                    (Distillateurs) </w:t>
            </w:r>
          </w:p>
        </w:tc>
      </w:tr>
    </w:tbl>
    <w:p w:rsidR="00034A2A" w:rsidRDefault="00034A2A">
      <w:pPr>
        <w:pStyle w:val="Corpsdetexte"/>
        <w:rPr>
          <w:rFonts w:ascii="Calibri" w:hAnsi="Calibri"/>
        </w:rPr>
      </w:pPr>
    </w:p>
    <w:p w:rsidR="00034A2A" w:rsidRDefault="001F2E10">
      <w:pPr>
        <w:pStyle w:val="Titre4"/>
        <w:keepNext w:val="0"/>
        <w:rPr>
          <w:rFonts w:ascii="Calibri" w:hAnsi="Calibri"/>
        </w:rPr>
      </w:pPr>
      <w:r>
        <w:rPr>
          <w:rFonts w:ascii="Calibri" w:hAnsi="Calibri"/>
        </w:rPr>
        <w:t>Article 3 : Conditions d'Éligibilité et Processus d'Adhésion</w:t>
      </w:r>
    </w:p>
    <w:p w:rsidR="00034A2A" w:rsidRDefault="001F2E10">
      <w:pPr>
        <w:pStyle w:val="Corpsdetexte"/>
        <w:rPr>
          <w:rFonts w:ascii="Calibri" w:hAnsi="Calibri"/>
        </w:rPr>
      </w:pPr>
      <w:r>
        <w:rPr>
          <w:rFonts w:ascii="Calibri" w:hAnsi="Calibri"/>
        </w:rPr>
        <w:t xml:space="preserve">La FIMAROSE est structurée en deux collèges distincts et équilibrés : le Collège Production (Amont) et le Collège </w:t>
      </w:r>
      <w:r>
        <w:rPr>
          <w:rFonts w:ascii="Calibri" w:hAnsi="Calibri"/>
        </w:rPr>
        <w:t>Transformation/Valorisation (Aval). Tout candidat à l'adhésion doit :</w:t>
      </w:r>
    </w:p>
    <w:p w:rsidR="00034A2A" w:rsidRDefault="001F2E10">
      <w:pPr>
        <w:pStyle w:val="Corpsdetexte"/>
        <w:numPr>
          <w:ilvl w:val="0"/>
          <w:numId w:val="2"/>
        </w:numPr>
        <w:tabs>
          <w:tab w:val="left" w:pos="0"/>
        </w:tabs>
        <w:rPr>
          <w:rFonts w:ascii="Calibri" w:hAnsi="Calibri"/>
        </w:rPr>
      </w:pPr>
      <w:r>
        <w:rPr>
          <w:rFonts w:ascii="Calibri" w:hAnsi="Calibri"/>
        </w:rPr>
        <w:t>Justifier d'une activité réelle, légale et vérifiable dans le périmètre de la province de Tinghir (notamment la vallée de M'goun).</w:t>
      </w:r>
    </w:p>
    <w:p w:rsidR="00034A2A" w:rsidRDefault="001F2E10">
      <w:pPr>
        <w:pStyle w:val="Corpsdetexte"/>
        <w:numPr>
          <w:ilvl w:val="0"/>
          <w:numId w:val="2"/>
        </w:numPr>
        <w:tabs>
          <w:tab w:val="left" w:pos="0"/>
        </w:tabs>
        <w:rPr>
          <w:rFonts w:ascii="Calibri" w:hAnsi="Calibri"/>
        </w:rPr>
      </w:pPr>
      <w:r>
        <w:rPr>
          <w:rFonts w:ascii="Calibri" w:hAnsi="Calibri"/>
        </w:rPr>
        <w:t>Être affilié à une organisation professionnelle (coopér</w:t>
      </w:r>
      <w:r>
        <w:rPr>
          <w:rFonts w:ascii="Calibri" w:hAnsi="Calibri"/>
        </w:rPr>
        <w:t>ative, GIE, association) légalement constituée et reconnue par l'autorité de tutelle.</w:t>
      </w:r>
    </w:p>
    <w:p w:rsidR="00034A2A" w:rsidRDefault="001F2E10">
      <w:pPr>
        <w:pStyle w:val="Corpsdetexte"/>
        <w:numPr>
          <w:ilvl w:val="0"/>
          <w:numId w:val="2"/>
        </w:numPr>
        <w:tabs>
          <w:tab w:val="left" w:pos="0"/>
        </w:tabs>
        <w:rPr>
          <w:rFonts w:ascii="Calibri" w:hAnsi="Calibri"/>
        </w:rPr>
      </w:pPr>
      <w:r>
        <w:rPr>
          <w:rFonts w:ascii="Calibri" w:hAnsi="Calibri"/>
        </w:rPr>
        <w:t>Signer sans réserve la Charte d'Engagement Éthique et Éco-responsable de la Fédération.</w:t>
      </w:r>
    </w:p>
    <w:p w:rsidR="00034A2A" w:rsidRDefault="001F2E10">
      <w:pPr>
        <w:pStyle w:val="Corpsdetexte"/>
        <w:numPr>
          <w:ilvl w:val="0"/>
          <w:numId w:val="2"/>
        </w:numPr>
        <w:tabs>
          <w:tab w:val="left" w:pos="0"/>
        </w:tabs>
        <w:rPr>
          <w:rFonts w:ascii="Calibri" w:hAnsi="Calibri"/>
        </w:rPr>
      </w:pPr>
      <w:r>
        <w:rPr>
          <w:rFonts w:ascii="Calibri" w:hAnsi="Calibri"/>
        </w:rPr>
        <w:t>Fournir une déclaration annuelle certifiée des superficies cultivées, du nombre de</w:t>
      </w:r>
      <w:r>
        <w:rPr>
          <w:rFonts w:ascii="Calibri" w:hAnsi="Calibri"/>
        </w:rPr>
        <w:t xml:space="preserve"> pieds de roses (Rosa damascena ou porte-greffe indica major) ou des capacités industrielles de distillation.</w:t>
      </w:r>
    </w:p>
    <w:p w:rsidR="00034A2A" w:rsidRDefault="001F2E10">
      <w:pPr>
        <w:pStyle w:val="Titre4"/>
        <w:keepNext w:val="0"/>
        <w:rPr>
          <w:rFonts w:ascii="Calibri" w:hAnsi="Calibri"/>
        </w:rPr>
      </w:pPr>
      <w:r>
        <w:rPr>
          <w:rFonts w:ascii="Calibri" w:hAnsi="Calibri"/>
        </w:rPr>
        <w:t>Article 4 : Obligations Impératives des Membres</w:t>
      </w:r>
    </w:p>
    <w:p w:rsidR="00034A2A" w:rsidRDefault="001F2E10">
      <w:pPr>
        <w:pStyle w:val="Corpsdetexte"/>
        <w:rPr>
          <w:rFonts w:ascii="Calibri" w:hAnsi="Calibri"/>
        </w:rPr>
      </w:pPr>
      <w:r>
        <w:rPr>
          <w:rFonts w:ascii="Calibri" w:hAnsi="Calibri"/>
        </w:rPr>
        <w:t>L'appartenance à la FIMAROSE confère un statut d'excellence sectorielle impliquant le respect obli</w:t>
      </w:r>
      <w:r>
        <w:rPr>
          <w:rFonts w:ascii="Calibri" w:hAnsi="Calibri"/>
        </w:rPr>
        <w:t>gatoire des clauses suivantes :</w:t>
      </w:r>
    </w:p>
    <w:p w:rsidR="00034A2A" w:rsidRDefault="001F2E10">
      <w:pPr>
        <w:pStyle w:val="Corpsdetexte"/>
        <w:numPr>
          <w:ilvl w:val="0"/>
          <w:numId w:val="3"/>
        </w:numPr>
        <w:tabs>
          <w:tab w:val="left" w:pos="0"/>
        </w:tabs>
        <w:rPr>
          <w:rFonts w:ascii="Calibri" w:hAnsi="Calibri"/>
        </w:rPr>
      </w:pPr>
      <w:r>
        <w:rPr>
          <w:rFonts w:ascii="Calibri" w:hAnsi="Calibri"/>
        </w:rPr>
        <w:t>Conformité Sanitaire : Application stricte des cahiers des charges ONSSA concernant les intrants et les traitements phytosanitaires.</w:t>
      </w:r>
    </w:p>
    <w:p w:rsidR="00034A2A" w:rsidRDefault="001F2E10">
      <w:pPr>
        <w:pStyle w:val="Corpsdetexte"/>
        <w:numPr>
          <w:ilvl w:val="0"/>
          <w:numId w:val="3"/>
        </w:numPr>
        <w:tabs>
          <w:tab w:val="left" w:pos="0"/>
        </w:tabs>
        <w:rPr>
          <w:rFonts w:ascii="Calibri" w:hAnsi="Calibri"/>
        </w:rPr>
      </w:pPr>
      <w:r>
        <w:rPr>
          <w:rFonts w:ascii="Calibri" w:hAnsi="Calibri"/>
        </w:rPr>
        <w:t>Transparence Statistique : Déclaration obligatoire avant le 30 juin de chaque année des vol</w:t>
      </w:r>
      <w:r>
        <w:rPr>
          <w:rFonts w:ascii="Calibri" w:hAnsi="Calibri"/>
        </w:rPr>
        <w:t>umes récoltés (en kilogrammes) ou transformés (en litres d'eau de rose ou d'huile essentielle).</w:t>
      </w:r>
    </w:p>
    <w:p w:rsidR="00034A2A" w:rsidRDefault="001F2E10">
      <w:pPr>
        <w:pStyle w:val="Corpsdetexte"/>
        <w:numPr>
          <w:ilvl w:val="0"/>
          <w:numId w:val="3"/>
        </w:numPr>
        <w:tabs>
          <w:tab w:val="left" w:pos="0"/>
        </w:tabs>
        <w:rPr>
          <w:rFonts w:ascii="Calibri" w:hAnsi="Calibri"/>
        </w:rPr>
      </w:pPr>
      <w:r>
        <w:rPr>
          <w:rFonts w:ascii="Calibri" w:hAnsi="Calibri"/>
        </w:rPr>
        <w:t>Responsabilité Sociale : Justification de l'inscription des salariés et des aidants familiaux au régime de protection sociale (CNSS / AMO).</w:t>
      </w:r>
    </w:p>
    <w:p w:rsidR="00034A2A" w:rsidRDefault="001F2E10">
      <w:pPr>
        <w:pStyle w:val="Corpsdetexte"/>
        <w:numPr>
          <w:ilvl w:val="0"/>
          <w:numId w:val="3"/>
        </w:numPr>
        <w:tabs>
          <w:tab w:val="left" w:pos="0"/>
        </w:tabs>
        <w:rPr>
          <w:rFonts w:ascii="Calibri" w:hAnsi="Calibri"/>
        </w:rPr>
      </w:pPr>
      <w:r>
        <w:rPr>
          <w:rFonts w:ascii="Calibri" w:hAnsi="Calibri"/>
        </w:rPr>
        <w:t xml:space="preserve">Loyauté Commerciale </w:t>
      </w:r>
      <w:r>
        <w:rPr>
          <w:rFonts w:ascii="Calibri" w:hAnsi="Calibri"/>
        </w:rPr>
        <w:t>: Respect des circuits de commercialisation officiels et des prix planchers concertés afin de lutter contre la spéculation sauvage du secteur informel.</w:t>
      </w:r>
    </w:p>
    <w:p w:rsidR="00034A2A" w:rsidRDefault="00034A2A">
      <w:pPr>
        <w:pStyle w:val="Titre3"/>
        <w:keepNext w:val="0"/>
        <w:rPr>
          <w:rFonts w:ascii="Calibri" w:hAnsi="Calibri"/>
        </w:rPr>
      </w:pPr>
    </w:p>
    <w:p w:rsidR="00034A2A" w:rsidRDefault="00034A2A">
      <w:pPr>
        <w:pStyle w:val="Titre3"/>
        <w:rPr>
          <w:rFonts w:ascii="Calibri" w:hAnsi="Calibri"/>
        </w:rPr>
      </w:pPr>
    </w:p>
    <w:p w:rsidR="00034A2A" w:rsidRDefault="001F2E10">
      <w:pPr>
        <w:pStyle w:val="Titre3"/>
        <w:rPr>
          <w:rFonts w:ascii="Calibri" w:hAnsi="Calibri"/>
        </w:rPr>
      </w:pPr>
      <w:r>
        <w:rPr>
          <w:rFonts w:ascii="Calibri" w:hAnsi="Calibri"/>
        </w:rPr>
        <w:t>Chapitre III : Organes de Gouvernance et Équilibre des Pouvoirs</w:t>
      </w:r>
    </w:p>
    <w:p w:rsidR="00034A2A" w:rsidRDefault="001F2E10">
      <w:pPr>
        <w:pStyle w:val="Titre4"/>
        <w:keepNext w:val="0"/>
        <w:rPr>
          <w:rFonts w:ascii="Calibri" w:hAnsi="Calibri"/>
        </w:rPr>
      </w:pPr>
      <w:r>
        <w:rPr>
          <w:rFonts w:ascii="Calibri" w:hAnsi="Calibri"/>
        </w:rPr>
        <w:t xml:space="preserve">Article 5 : Architecture </w:t>
      </w:r>
      <w:r>
        <w:rPr>
          <w:rFonts w:ascii="Calibri" w:hAnsi="Calibri"/>
        </w:rPr>
        <w:t>Institutionnelle</w:t>
      </w:r>
    </w:p>
    <w:p w:rsidR="00034A2A" w:rsidRDefault="001F2E10">
      <w:pPr>
        <w:pStyle w:val="Corpsdetexte"/>
        <w:rPr>
          <w:rFonts w:ascii="Calibri" w:hAnsi="Calibri"/>
        </w:rPr>
      </w:pPr>
      <w:r>
        <w:rPr>
          <w:rFonts w:ascii="Calibri" w:hAnsi="Calibri"/>
        </w:rPr>
        <w:t>La gouvernance de la Fédération repose sur une séparation claire entre les pouvoirs d'orientation, de décision et d'exécution :</w:t>
      </w:r>
    </w:p>
    <w:p w:rsidR="00034A2A" w:rsidRDefault="001F2E10">
      <w:pPr>
        <w:pStyle w:val="Corpsdetexte"/>
        <w:numPr>
          <w:ilvl w:val="0"/>
          <w:numId w:val="4"/>
        </w:numPr>
        <w:tabs>
          <w:tab w:val="left" w:pos="0"/>
        </w:tabs>
        <w:rPr>
          <w:rFonts w:ascii="Calibri" w:hAnsi="Calibri"/>
        </w:rPr>
      </w:pPr>
      <w:r>
        <w:rPr>
          <w:rFonts w:ascii="Calibri" w:hAnsi="Calibri"/>
        </w:rPr>
        <w:t>L’Assemblée Générale (AG) : Organe souverain réunissant l'ensemble des membres des deux collèges.</w:t>
      </w:r>
    </w:p>
    <w:p w:rsidR="00034A2A" w:rsidRDefault="001F2E10">
      <w:pPr>
        <w:pStyle w:val="Corpsdetexte"/>
        <w:numPr>
          <w:ilvl w:val="0"/>
          <w:numId w:val="4"/>
        </w:numPr>
        <w:tabs>
          <w:tab w:val="left" w:pos="0"/>
        </w:tabs>
        <w:rPr>
          <w:rFonts w:ascii="Calibri" w:hAnsi="Calibri"/>
        </w:rPr>
      </w:pPr>
      <w:r>
        <w:rPr>
          <w:rFonts w:ascii="Calibri" w:hAnsi="Calibri"/>
        </w:rPr>
        <w:t>Le Conseil d’</w:t>
      </w:r>
      <w:r>
        <w:rPr>
          <w:rFonts w:ascii="Calibri" w:hAnsi="Calibri"/>
        </w:rPr>
        <w:t>Administration (CA) : Organe de décision stratégique, composé de manière paritaire entre producteurs et transformateurs.</w:t>
      </w:r>
    </w:p>
    <w:p w:rsidR="00034A2A" w:rsidRDefault="001F2E10">
      <w:pPr>
        <w:pStyle w:val="Corpsdetexte"/>
        <w:numPr>
          <w:ilvl w:val="0"/>
          <w:numId w:val="4"/>
        </w:numPr>
        <w:tabs>
          <w:tab w:val="left" w:pos="0"/>
        </w:tabs>
        <w:rPr>
          <w:rFonts w:ascii="Calibri" w:hAnsi="Calibri"/>
        </w:rPr>
      </w:pPr>
      <w:r>
        <w:rPr>
          <w:rFonts w:ascii="Calibri" w:hAnsi="Calibri"/>
        </w:rPr>
        <w:t>Le Bureau Exécutif / Comité de Coordination : Cellule opérationnelle chargée du pilotage quotidien de la structure.</w:t>
      </w:r>
    </w:p>
    <w:p w:rsidR="00034A2A" w:rsidRDefault="001F2E10">
      <w:pPr>
        <w:pStyle w:val="Corpsdetexte"/>
        <w:numPr>
          <w:ilvl w:val="0"/>
          <w:numId w:val="4"/>
        </w:numPr>
        <w:tabs>
          <w:tab w:val="left" w:pos="0"/>
        </w:tabs>
        <w:rPr>
          <w:rFonts w:ascii="Calibri" w:hAnsi="Calibri"/>
        </w:rPr>
      </w:pPr>
      <w:r>
        <w:rPr>
          <w:rFonts w:ascii="Calibri" w:hAnsi="Calibri"/>
        </w:rPr>
        <w:t>Les Commissions Per</w:t>
      </w:r>
      <w:r>
        <w:rPr>
          <w:rFonts w:ascii="Calibri" w:hAnsi="Calibri"/>
        </w:rPr>
        <w:t>manentes : Organes d'expertise technique (Commission Arbitrage &amp; Éthique, Commission Technique &amp; Agroécologie, Commission Marchés &amp; Export).</w:t>
      </w:r>
    </w:p>
    <w:p w:rsidR="00034A2A" w:rsidRDefault="001F2E10">
      <w:pPr>
        <w:pStyle w:val="Corpsdetexte"/>
        <w:tabs>
          <w:tab w:val="left" w:pos="0"/>
        </w:tabs>
        <w:ind w:hanging="283"/>
        <w:rPr>
          <w:rFonts w:ascii="Calibri" w:hAnsi="Calibri"/>
        </w:rPr>
      </w:pPr>
      <w:r>
        <w:rPr>
          <w:rFonts w:ascii="Calibri" w:hAnsi="Calibri"/>
          <w:noProof/>
          <w:lang w:val="fr-FR" w:eastAsia="fr-FR" w:bidi="ar-SA"/>
        </w:rPr>
        <mc:AlternateContent>
          <mc:Choice Requires="wps">
            <w:drawing>
              <wp:anchor distT="0" distB="0" distL="0" distR="0" simplePos="0" relativeHeight="2" behindDoc="0" locked="0" layoutInCell="1" allowOverlap="1">
                <wp:simplePos x="0" y="0"/>
                <wp:positionH relativeFrom="column">
                  <wp:posOffset>2779395</wp:posOffset>
                </wp:positionH>
                <wp:positionV relativeFrom="paragraph">
                  <wp:posOffset>1697355</wp:posOffset>
                </wp:positionV>
                <wp:extent cx="6985" cy="237490"/>
                <wp:effectExtent l="55880" t="18415" r="55245" b="0"/>
                <wp:wrapNone/>
                <wp:docPr id="1" name="Line 1"/>
                <wp:cNvGraphicFramePr/>
                <a:graphic xmlns:a="http://schemas.openxmlformats.org/drawingml/2006/main">
                  <a:graphicData uri="http://schemas.microsoft.com/office/word/2010/wordprocessingShape">
                    <wps:wsp>
                      <wps:cNvCnPr/>
                      <wps:spPr>
                        <a:xfrm flipH="1">
                          <a:off x="0" y="0"/>
                          <a:ext cx="6840" cy="237600"/>
                        </a:xfrm>
                        <a:prstGeom prst="line">
                          <a:avLst/>
                        </a:prstGeom>
                        <a:ln w="36360">
                          <a:solidFill>
                            <a:srgbClr val="3465A4"/>
                          </a:solidFill>
                          <a:round/>
                          <a:tailEnd type="triangle" w="med" len="med"/>
                        </a:ln>
                      </wps:spPr>
                      <wps:style>
                        <a:lnRef idx="0">
                          <a:scrgbClr r="0" g="0" b="0"/>
                        </a:lnRef>
                        <a:fillRef idx="0">
                          <a:scrgbClr r="0" g="0" b="0"/>
                        </a:fillRef>
                        <a:effectRef idx="0">
                          <a:scrgbClr r="0" g="0" b="0"/>
                        </a:effectRef>
                        <a:fontRef idx="minor"/>
                      </wps:style>
                      <wps:bodyPr/>
                    </wps:wsp>
                  </a:graphicData>
                </a:graphic>
              </wp:anchor>
            </w:drawing>
          </mc:Choice>
          <mc:Fallback>
            <w:pict>
              <v:line id="shape_0" from="218.85pt,133.65pt" to="219.35pt,152.3pt" ID="Line 1" stroked="t" o:allowincell="f" style="position:absolute;flip:x">
                <v:stroke color="#3465a4" weight="36360" endarrow="block" endarrowwidth="medium" endarrowlength="medium" joinstyle="round" endcap="flat"/>
                <v:fill o:detectmouseclick="t" on="false"/>
                <w10:wrap type="none"/>
              </v:line>
            </w:pict>
          </mc:Fallback>
        </mc:AlternateConten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9628"/>
      </w:tblGrid>
      <w:tr w:rsidR="00034A2A">
        <w:tc>
          <w:tcPr>
            <w:tcW w:w="9638" w:type="dxa"/>
            <w:tcBorders>
              <w:top w:val="single" w:sz="4" w:space="0" w:color="000000"/>
              <w:left w:val="single" w:sz="4" w:space="0" w:color="000000"/>
              <w:bottom w:val="single" w:sz="4" w:space="0" w:color="000000"/>
              <w:right w:val="single" w:sz="4" w:space="0" w:color="000000"/>
            </w:tcBorders>
            <w:vAlign w:val="center"/>
          </w:tcPr>
          <w:p w:rsidR="00034A2A" w:rsidRDefault="00034A2A">
            <w:pPr>
              <w:pStyle w:val="TableContents"/>
              <w:rPr>
                <w:rFonts w:ascii="Calibri" w:hAnsi="Calibri"/>
              </w:rPr>
            </w:pPr>
          </w:p>
          <w:p w:rsidR="00034A2A" w:rsidRDefault="001F2E10">
            <w:pPr>
              <w:pStyle w:val="TableContents"/>
              <w:jc w:val="center"/>
            </w:pPr>
            <w:r>
              <w:rPr>
                <w:rStyle w:val="SourceText"/>
                <w:rFonts w:ascii="Calibri" w:hAnsi="Calibri"/>
              </w:rPr>
              <w:t xml:space="preserve">ASSEMBLÉE GÉNÉRALE (AG)                  </w:t>
            </w:r>
          </w:p>
          <w:p w:rsidR="00034A2A" w:rsidRDefault="001F2E10">
            <w:pPr>
              <w:pStyle w:val="PreformattedText"/>
              <w:jc w:val="center"/>
            </w:pPr>
            <w:r>
              <w:rPr>
                <w:rStyle w:val="SourceText"/>
                <w:rFonts w:ascii="Calibri" w:hAnsi="Calibri"/>
              </w:rPr>
              <w:t xml:space="preserve">(Organe Souverain Annuel) </w:t>
            </w:r>
          </w:p>
        </w:tc>
      </w:tr>
      <w:tr w:rsidR="00034A2A">
        <w:tc>
          <w:tcPr>
            <w:tcW w:w="9638" w:type="dxa"/>
            <w:tcBorders>
              <w:left w:val="single" w:sz="4" w:space="0" w:color="000000"/>
              <w:bottom w:val="single" w:sz="4" w:space="0" w:color="000000"/>
              <w:right w:val="single" w:sz="4" w:space="0" w:color="000000"/>
            </w:tcBorders>
          </w:tcPr>
          <w:p w:rsidR="00034A2A" w:rsidRDefault="00034A2A">
            <w:pPr>
              <w:pStyle w:val="TableContents"/>
              <w:jc w:val="center"/>
              <w:rPr>
                <w:rFonts w:ascii="Calibri" w:hAnsi="Calibri"/>
              </w:rPr>
            </w:pPr>
          </w:p>
        </w:tc>
      </w:tr>
      <w:tr w:rsidR="00034A2A">
        <w:tc>
          <w:tcPr>
            <w:tcW w:w="9638" w:type="dxa"/>
            <w:tcBorders>
              <w:left w:val="single" w:sz="4" w:space="0" w:color="000000"/>
              <w:bottom w:val="single" w:sz="4" w:space="0" w:color="000000"/>
              <w:right w:val="single" w:sz="4" w:space="0" w:color="000000"/>
            </w:tcBorders>
          </w:tcPr>
          <w:p w:rsidR="00034A2A" w:rsidRDefault="00034A2A">
            <w:pPr>
              <w:pStyle w:val="TableContents"/>
              <w:jc w:val="center"/>
              <w:rPr>
                <w:rFonts w:ascii="Calibri" w:hAnsi="Calibri"/>
              </w:rPr>
            </w:pPr>
          </w:p>
          <w:p w:rsidR="00034A2A" w:rsidRDefault="001F2E10">
            <w:pPr>
              <w:jc w:val="center"/>
            </w:pPr>
            <w:r>
              <w:rPr>
                <w:rStyle w:val="SourceText"/>
                <w:rFonts w:ascii="Calibri" w:hAnsi="Calibri"/>
              </w:rPr>
              <w:t>CONSEIL D'ADMINISTRATION (CA)</w:t>
            </w:r>
          </w:p>
          <w:p w:rsidR="00034A2A" w:rsidRDefault="001F2E10">
            <w:pPr>
              <w:pStyle w:val="PreformattedText"/>
              <w:jc w:val="center"/>
            </w:pPr>
            <w:r>
              <w:rPr>
                <w:rStyle w:val="SourceText"/>
                <w:rFonts w:ascii="Calibri" w:hAnsi="Calibri"/>
              </w:rPr>
              <w:t xml:space="preserve">(Gouvernance Paritaire)   </w:t>
            </w:r>
          </w:p>
        </w:tc>
      </w:tr>
      <w:tr w:rsidR="00034A2A">
        <w:tc>
          <w:tcPr>
            <w:tcW w:w="9638" w:type="dxa"/>
            <w:tcBorders>
              <w:left w:val="single" w:sz="4" w:space="0" w:color="000000"/>
              <w:bottom w:val="single" w:sz="4" w:space="0" w:color="000000"/>
              <w:right w:val="single" w:sz="4" w:space="0" w:color="000000"/>
            </w:tcBorders>
          </w:tcPr>
          <w:p w:rsidR="00034A2A" w:rsidRDefault="001F2E10">
            <w:pPr>
              <w:pStyle w:val="TableContents"/>
              <w:rPr>
                <w:rFonts w:ascii="Calibri" w:hAnsi="Calibri"/>
              </w:rPr>
            </w:pPr>
            <w:r>
              <w:rPr>
                <w:rFonts w:ascii="Calibri" w:hAnsi="Calibri"/>
                <w:noProof/>
                <w:lang w:val="fr-FR" w:eastAsia="fr-FR" w:bidi="ar-SA"/>
              </w:rPr>
              <mc:AlternateContent>
                <mc:Choice Requires="wps">
                  <w:drawing>
                    <wp:anchor distT="0" distB="0" distL="0" distR="0" simplePos="0" relativeHeight="3" behindDoc="0" locked="0" layoutInCell="1" allowOverlap="1">
                      <wp:simplePos x="0" y="0"/>
                      <wp:positionH relativeFrom="column">
                        <wp:posOffset>2757805</wp:posOffset>
                      </wp:positionH>
                      <wp:positionV relativeFrom="paragraph">
                        <wp:posOffset>790575</wp:posOffset>
                      </wp:positionV>
                      <wp:extent cx="6985" cy="237490"/>
                      <wp:effectExtent l="55880" t="18415" r="55245" b="0"/>
                      <wp:wrapNone/>
                      <wp:docPr id="2" name="Line 2"/>
                      <wp:cNvGraphicFramePr/>
                      <a:graphic xmlns:a="http://schemas.openxmlformats.org/drawingml/2006/main">
                        <a:graphicData uri="http://schemas.microsoft.com/office/word/2010/wordprocessingShape">
                          <wps:wsp>
                            <wps:cNvCnPr/>
                            <wps:spPr>
                              <a:xfrm flipH="1">
                                <a:off x="0" y="0"/>
                                <a:ext cx="6840" cy="237600"/>
                              </a:xfrm>
                              <a:prstGeom prst="line">
                                <a:avLst/>
                              </a:prstGeom>
                              <a:ln w="36360">
                                <a:solidFill>
                                  <a:srgbClr val="3465A4"/>
                                </a:solidFill>
                                <a:round/>
                                <a:tailEnd type="triangle" w="med" len="med"/>
                              </a:ln>
                            </wps:spPr>
                            <wps:style>
                              <a:lnRef idx="0">
                                <a:scrgbClr r="0" g="0" b="0"/>
                              </a:lnRef>
                              <a:fillRef idx="0">
                                <a:scrgbClr r="0" g="0" b="0"/>
                              </a:fillRef>
                              <a:effectRef idx="0">
                                <a:scrgbClr r="0" g="0" b="0"/>
                              </a:effectRef>
                              <a:fontRef idx="minor"/>
                            </wps:style>
                            <wps:bodyPr/>
                          </wps:wsp>
                        </a:graphicData>
                      </a:graphic>
                    </wp:anchor>
                  </w:drawing>
                </mc:Choice>
                <mc:Fallback>
                  <w:pict>
                    <v:line id="shape_0" from="217.15pt,62.25pt" to="217.65pt,80.9pt" ID="Line 2" stroked="t" o:allowincell="f" style="position:absolute;flip:x">
                      <v:stroke color="#3465a4" weight="36360" endarrow="block" endarrowwidth="medium" endarrowlength="medium" joinstyle="round" endcap="flat"/>
                      <v:fill o:detectmouseclick="t" on="false"/>
                      <w10:wrap type="none"/>
                    </v:line>
                  </w:pict>
                </mc:Fallback>
              </mc:AlternateContent>
            </w:r>
          </w:p>
        </w:tc>
      </w:tr>
      <w:tr w:rsidR="00034A2A">
        <w:tc>
          <w:tcPr>
            <w:tcW w:w="9638" w:type="dxa"/>
            <w:tcBorders>
              <w:left w:val="single" w:sz="4" w:space="0" w:color="000000"/>
              <w:bottom w:val="single" w:sz="4" w:space="0" w:color="000000"/>
              <w:right w:val="single" w:sz="4" w:space="0" w:color="000000"/>
            </w:tcBorders>
          </w:tcPr>
          <w:p w:rsidR="00034A2A" w:rsidRDefault="00034A2A">
            <w:pPr>
              <w:pStyle w:val="TableContents"/>
              <w:rPr>
                <w:rFonts w:ascii="Calibri" w:hAnsi="Calibri"/>
              </w:rPr>
            </w:pPr>
          </w:p>
          <w:p w:rsidR="00034A2A" w:rsidRDefault="001F2E10">
            <w:pPr>
              <w:jc w:val="center"/>
            </w:pPr>
            <w:r>
              <w:rPr>
                <w:rStyle w:val="SourceText"/>
                <w:rFonts w:ascii="Calibri" w:hAnsi="Calibri"/>
              </w:rPr>
              <w:t xml:space="preserve">BUREAU EXÉCUTIF           </w:t>
            </w:r>
          </w:p>
          <w:p w:rsidR="00034A2A" w:rsidRDefault="001F2E10">
            <w:pPr>
              <w:pStyle w:val="PreformattedText"/>
              <w:jc w:val="center"/>
            </w:pPr>
            <w:r>
              <w:rPr>
                <w:rStyle w:val="SourceText"/>
                <w:rFonts w:ascii="Calibri" w:hAnsi="Calibri"/>
              </w:rPr>
              <w:t xml:space="preserve"> (Coordination Opérationnelle &amp; Administration) </w:t>
            </w:r>
          </w:p>
        </w:tc>
      </w:tr>
      <w:tr w:rsidR="00034A2A">
        <w:tc>
          <w:tcPr>
            <w:tcW w:w="9638" w:type="dxa"/>
            <w:tcBorders>
              <w:left w:val="single" w:sz="4" w:space="0" w:color="000000"/>
              <w:bottom w:val="single" w:sz="4" w:space="0" w:color="000000"/>
              <w:right w:val="single" w:sz="4" w:space="0" w:color="000000"/>
            </w:tcBorders>
          </w:tcPr>
          <w:p w:rsidR="00034A2A" w:rsidRDefault="00034A2A">
            <w:pPr>
              <w:pStyle w:val="TableContents"/>
              <w:rPr>
                <w:rFonts w:ascii="Calibri" w:hAnsi="Calibri"/>
              </w:rPr>
            </w:pPr>
          </w:p>
        </w:tc>
      </w:tr>
      <w:tr w:rsidR="00034A2A">
        <w:tc>
          <w:tcPr>
            <w:tcW w:w="9638" w:type="dxa"/>
            <w:tcBorders>
              <w:left w:val="single" w:sz="4" w:space="0" w:color="000000"/>
              <w:bottom w:val="single" w:sz="4" w:space="0" w:color="000000"/>
              <w:right w:val="single" w:sz="4" w:space="0" w:color="000000"/>
            </w:tcBorders>
          </w:tcPr>
          <w:p w:rsidR="00034A2A" w:rsidRDefault="00034A2A">
            <w:pPr>
              <w:pStyle w:val="TableContents"/>
              <w:jc w:val="center"/>
              <w:rPr>
                <w:rFonts w:ascii="Calibri" w:hAnsi="Calibri"/>
              </w:rPr>
            </w:pPr>
          </w:p>
          <w:p w:rsidR="00034A2A" w:rsidRDefault="001F2E10">
            <w:pPr>
              <w:jc w:val="center"/>
            </w:pPr>
            <w:r>
              <w:rPr>
                <w:rStyle w:val="SourceText"/>
                <w:rFonts w:ascii="Calibri" w:hAnsi="Calibri"/>
              </w:rPr>
              <w:t>COMMISSIONS PERMANENTES :</w:t>
            </w:r>
          </w:p>
          <w:p w:rsidR="00034A2A" w:rsidRDefault="001F2E10">
            <w:r>
              <w:rPr>
                <w:rStyle w:val="SourceText"/>
                <w:rFonts w:ascii="Calibri" w:hAnsi="Calibri"/>
              </w:rPr>
              <w:t xml:space="preserve">- </w:t>
            </w:r>
            <w:r>
              <w:rPr>
                <w:rStyle w:val="SourceText"/>
                <w:rFonts w:ascii="Calibri" w:hAnsi="Calibri"/>
                <w:sz w:val="20"/>
                <w:szCs w:val="20"/>
              </w:rPr>
              <w:t>Éthique &amp; Arbitrage</w:t>
            </w:r>
          </w:p>
          <w:p w:rsidR="00034A2A" w:rsidRDefault="001F2E10">
            <w:r>
              <w:rPr>
                <w:rStyle w:val="SourceText"/>
                <w:rFonts w:ascii="Calibri" w:hAnsi="Calibri"/>
                <w:sz w:val="20"/>
                <w:szCs w:val="20"/>
              </w:rPr>
              <w:t>- Technique &amp; Agroécologie</w:t>
            </w:r>
          </w:p>
          <w:p w:rsidR="00034A2A" w:rsidRDefault="001F2E10">
            <w:pPr>
              <w:pStyle w:val="PreformattedText"/>
            </w:pPr>
            <w:r>
              <w:rPr>
                <w:rStyle w:val="SourceText"/>
                <w:rFonts w:ascii="Calibri" w:hAnsi="Calibri"/>
              </w:rPr>
              <w:t>- Marchés &amp; Export</w:t>
            </w:r>
          </w:p>
        </w:tc>
      </w:tr>
    </w:tbl>
    <w:p w:rsidR="00034A2A" w:rsidRDefault="00034A2A">
      <w:pPr>
        <w:pStyle w:val="Corpsdetexte"/>
        <w:tabs>
          <w:tab w:val="left" w:pos="0"/>
        </w:tabs>
        <w:ind w:hanging="283"/>
        <w:rPr>
          <w:rStyle w:val="SourceText"/>
          <w:rFonts w:ascii="Calibri" w:hAnsi="Calibri"/>
        </w:rPr>
      </w:pPr>
    </w:p>
    <w:p w:rsidR="00034A2A" w:rsidRDefault="001F2E10">
      <w:pPr>
        <w:pStyle w:val="Titre4"/>
        <w:keepNext w:val="0"/>
        <w:rPr>
          <w:rFonts w:ascii="Calibri" w:hAnsi="Calibri"/>
        </w:rPr>
      </w:pPr>
      <w:r>
        <w:rPr>
          <w:rFonts w:ascii="Calibri" w:hAnsi="Calibri"/>
        </w:rPr>
        <w:t xml:space="preserve">Article 6 : Calendrier Rédactionnel et </w:t>
      </w:r>
      <w:r>
        <w:rPr>
          <w:rFonts w:ascii="Calibri" w:hAnsi="Calibri"/>
        </w:rPr>
        <w:t>Périodicité des Réunions</w:t>
      </w:r>
    </w:p>
    <w:p w:rsidR="00034A2A" w:rsidRDefault="001F2E10">
      <w:pPr>
        <w:pStyle w:val="Corpsdetexte"/>
        <w:numPr>
          <w:ilvl w:val="0"/>
          <w:numId w:val="5"/>
        </w:numPr>
        <w:tabs>
          <w:tab w:val="left" w:pos="0"/>
        </w:tabs>
        <w:rPr>
          <w:rFonts w:ascii="Calibri" w:hAnsi="Calibri"/>
        </w:rPr>
      </w:pPr>
      <w:r>
        <w:rPr>
          <w:rFonts w:ascii="Calibri" w:hAnsi="Calibri"/>
        </w:rPr>
        <w:t>Assemblée Générale Ordinare (AGO) : Convocation obligatoire 1 fois par an, au maximum dans les 6 mois suivant la clôture de l'exercice pour approbation des rapports moral et financier.</w:t>
      </w:r>
    </w:p>
    <w:p w:rsidR="00034A2A" w:rsidRDefault="001F2E10">
      <w:pPr>
        <w:pStyle w:val="Corpsdetexte"/>
        <w:numPr>
          <w:ilvl w:val="0"/>
          <w:numId w:val="5"/>
        </w:numPr>
        <w:tabs>
          <w:tab w:val="left" w:pos="0"/>
        </w:tabs>
        <w:rPr>
          <w:rFonts w:ascii="Calibri" w:hAnsi="Calibri"/>
        </w:rPr>
      </w:pPr>
      <w:r>
        <w:rPr>
          <w:rFonts w:ascii="Calibri" w:hAnsi="Calibri"/>
        </w:rPr>
        <w:t>Conseil d’Administration (CA) : Réunion obliga</w:t>
      </w:r>
      <w:r>
        <w:rPr>
          <w:rFonts w:ascii="Calibri" w:hAnsi="Calibri"/>
        </w:rPr>
        <w:t>toire tous les 3 mois (trimestrielle) sur ordre du jour précis envoyé 15 jours à l'avance.</w:t>
      </w:r>
    </w:p>
    <w:p w:rsidR="00034A2A" w:rsidRDefault="001F2E10">
      <w:pPr>
        <w:pStyle w:val="Corpsdetexte"/>
        <w:numPr>
          <w:ilvl w:val="0"/>
          <w:numId w:val="5"/>
        </w:numPr>
        <w:tabs>
          <w:tab w:val="left" w:pos="0"/>
        </w:tabs>
        <w:rPr>
          <w:rFonts w:ascii="Calibri" w:hAnsi="Calibri"/>
        </w:rPr>
      </w:pPr>
      <w:r>
        <w:rPr>
          <w:rFonts w:ascii="Calibri" w:hAnsi="Calibri"/>
        </w:rPr>
        <w:t>Commissions Permanentes : Réunion au minimum tous les 2 mois pour instruire les dossiers techniques, les litiges ou les plans d'actions agroécologiques.</w:t>
      </w:r>
    </w:p>
    <w:p w:rsidR="00034A2A" w:rsidRDefault="001F2E10">
      <w:pPr>
        <w:pStyle w:val="Titre3"/>
        <w:keepNext w:val="0"/>
        <w:rPr>
          <w:rFonts w:ascii="Calibri" w:hAnsi="Calibri"/>
        </w:rPr>
      </w:pPr>
      <w:r>
        <w:rPr>
          <w:rFonts w:ascii="Calibri" w:hAnsi="Calibri"/>
        </w:rPr>
        <w:t xml:space="preserve">Chapitre IV </w:t>
      </w:r>
      <w:r>
        <w:rPr>
          <w:rFonts w:ascii="Calibri" w:hAnsi="Calibri"/>
        </w:rPr>
        <w:t>: Hautes Clauses de Gouvernance (Nouveaux Apports)</w:t>
      </w:r>
    </w:p>
    <w:p w:rsidR="00034A2A" w:rsidRDefault="001F2E10">
      <w:pPr>
        <w:pStyle w:val="Titre4"/>
        <w:keepNext w:val="0"/>
        <w:rPr>
          <w:rFonts w:ascii="Calibri" w:hAnsi="Calibri"/>
        </w:rPr>
      </w:pPr>
      <w:r>
        <w:rPr>
          <w:rFonts w:ascii="Calibri" w:hAnsi="Calibri"/>
        </w:rPr>
        <w:t>Article 7 : Prévention et Gestion des Conflits d’Intérêts</w:t>
      </w:r>
    </w:p>
    <w:p w:rsidR="00034A2A" w:rsidRDefault="001F2E10">
      <w:pPr>
        <w:pStyle w:val="Corpsdetexte"/>
        <w:rPr>
          <w:rFonts w:ascii="Calibri" w:hAnsi="Calibri"/>
        </w:rPr>
      </w:pPr>
      <w:r>
        <w:rPr>
          <w:rFonts w:ascii="Calibri" w:hAnsi="Calibri"/>
        </w:rPr>
        <w:t>Tout administrateur ou membre du Bureau Exécutif ayant un intérêt direct ou indirect dans une délibération, un marché public, un octroi de subventi</w:t>
      </w:r>
      <w:r>
        <w:rPr>
          <w:rFonts w:ascii="Calibri" w:hAnsi="Calibri"/>
        </w:rPr>
        <w:t>on ou un contrat de partenariat liant la FIMAROSE à un tiers, a l’obligation d’en faire la déclaration écrite préalable à la Commission Arbitrage &amp; Éthique. L’intéressé doit obligatoirement s’abstenir de participer aux débats et au vote de la résolution co</w:t>
      </w:r>
      <w:r>
        <w:rPr>
          <w:rFonts w:ascii="Calibri" w:hAnsi="Calibri"/>
        </w:rPr>
        <w:t>ncernée. Un registre public des conflits d'intérêts est tenu au siège de la Fédération.</w:t>
      </w:r>
    </w:p>
    <w:p w:rsidR="00034A2A" w:rsidRDefault="001F2E10">
      <w:pPr>
        <w:pStyle w:val="Titre4"/>
        <w:keepNext w:val="0"/>
        <w:rPr>
          <w:rFonts w:ascii="Calibri" w:hAnsi="Calibri"/>
        </w:rPr>
      </w:pPr>
      <w:r>
        <w:rPr>
          <w:rFonts w:ascii="Calibri" w:hAnsi="Calibri"/>
        </w:rPr>
        <w:t>Article 8 : Protection des Petits Producteurs et Équité Commerciale</w:t>
      </w:r>
    </w:p>
    <w:p w:rsidR="00034A2A" w:rsidRDefault="001F2E10">
      <w:pPr>
        <w:pStyle w:val="Corpsdetexte"/>
        <w:rPr>
          <w:rFonts w:ascii="Calibri" w:hAnsi="Calibri"/>
        </w:rPr>
      </w:pPr>
      <w:r>
        <w:rPr>
          <w:rFonts w:ascii="Calibri" w:hAnsi="Calibri"/>
        </w:rPr>
        <w:t>La FIMAROSE s'engage à garantir un équilibre macroéconomique au sein de la filière. Le Collège "Tran</w:t>
      </w:r>
      <w:r>
        <w:rPr>
          <w:rFonts w:ascii="Calibri" w:hAnsi="Calibri"/>
        </w:rPr>
        <w:t>sformation" s'interdit toute entente illicite sur les prix au détriment des petits agriculteurs. Des mécanismes contractuels d’agrégation (conformément à la Loi 04-12) doivent être privilégiés, assurant une indexation équitable des prix d'achat de la fleur</w:t>
      </w:r>
      <w:r>
        <w:rPr>
          <w:rFonts w:ascii="Calibri" w:hAnsi="Calibri"/>
        </w:rPr>
        <w:t xml:space="preserve"> de rose fraîche sur la base des cours de valorisation des produits distillés (huiles essentielles et concrètes).</w:t>
      </w:r>
    </w:p>
    <w:p w:rsidR="00034A2A" w:rsidRDefault="001F2E10">
      <w:pPr>
        <w:pStyle w:val="Titre4"/>
        <w:keepNext w:val="0"/>
        <w:rPr>
          <w:rFonts w:ascii="Calibri" w:hAnsi="Calibri"/>
        </w:rPr>
      </w:pPr>
      <w:r>
        <w:rPr>
          <w:rFonts w:ascii="Calibri" w:hAnsi="Calibri"/>
        </w:rPr>
        <w:t>Article 9 : Responsabilité Environnementale et Transition Agroécologique</w:t>
      </w:r>
    </w:p>
    <w:p w:rsidR="00034A2A" w:rsidRDefault="001F2E10">
      <w:pPr>
        <w:pStyle w:val="Corpsdetexte"/>
        <w:rPr>
          <w:rFonts w:ascii="Calibri" w:hAnsi="Calibri"/>
        </w:rPr>
      </w:pPr>
      <w:r>
        <w:rPr>
          <w:rFonts w:ascii="Calibri" w:hAnsi="Calibri"/>
        </w:rPr>
        <w:t>Conformément aux directives de durabilité, la FIMAROSE conditionne se</w:t>
      </w:r>
      <w:r>
        <w:rPr>
          <w:rFonts w:ascii="Calibri" w:hAnsi="Calibri"/>
        </w:rPr>
        <w:t>s apports et labels au respect des sols et des ressources hydriques de la région. L'usage excessif d'intrants chimiques de synthèse est proscrit. La Fédération soutient activement la recherche sur les alternatives agroécologiques, la certification biologiq</w:t>
      </w:r>
      <w:r>
        <w:rPr>
          <w:rFonts w:ascii="Calibri" w:hAnsi="Calibri"/>
        </w:rPr>
        <w:t>ue de la Rosa damascena et la préservation de la biodiversité locale à travers l'installation de stations pilotes et de jardins botaniques pédagogiques.</w:t>
      </w:r>
    </w:p>
    <w:p w:rsidR="00034A2A" w:rsidRDefault="001F2E10">
      <w:pPr>
        <w:pStyle w:val="Titre1"/>
        <w:keepNext w:val="0"/>
        <w:rPr>
          <w:rFonts w:ascii="Calibri" w:hAnsi="Calibri"/>
          <w:sz w:val="28"/>
          <w:szCs w:val="28"/>
        </w:rPr>
      </w:pPr>
      <w:r>
        <w:rPr>
          <w:rFonts w:ascii="Calibri" w:hAnsi="Calibri"/>
          <w:sz w:val="28"/>
          <w:szCs w:val="28"/>
        </w:rPr>
        <w:t>PARTIE II : TEXTES OPÉRATIONNELS ET DIRECTIVES</w:t>
      </w:r>
    </w:p>
    <w:p w:rsidR="00034A2A" w:rsidRDefault="001F2E10">
      <w:pPr>
        <w:pStyle w:val="Titre2"/>
        <w:keepNext w:val="0"/>
        <w:rPr>
          <w:rFonts w:ascii="Calibri" w:hAnsi="Calibri"/>
          <w:sz w:val="28"/>
          <w:szCs w:val="28"/>
        </w:rPr>
      </w:pPr>
      <w:r>
        <w:rPr>
          <w:rFonts w:ascii="Calibri" w:hAnsi="Calibri"/>
          <w:sz w:val="28"/>
          <w:szCs w:val="28"/>
        </w:rPr>
        <w:t>MANUEL DES PROCÉDURES (Standard Operating Procedures - S</w:t>
      </w:r>
      <w:r>
        <w:rPr>
          <w:rFonts w:ascii="Calibri" w:hAnsi="Calibri"/>
          <w:sz w:val="28"/>
          <w:szCs w:val="28"/>
        </w:rPr>
        <w:t>OP)</w:t>
      </w:r>
    </w:p>
    <w:p w:rsidR="00034A2A" w:rsidRDefault="001F2E10">
      <w:pPr>
        <w:pStyle w:val="Corpsdetexte"/>
        <w:rPr>
          <w:rFonts w:ascii="Calibri" w:hAnsi="Calibri"/>
        </w:rPr>
      </w:pPr>
      <w:r>
        <w:rPr>
          <w:rFonts w:ascii="Calibri" w:hAnsi="Calibri"/>
        </w:rPr>
        <w:t>Ce manuel décrit les protocoles administratifs et de contrôle à suivre pour chaque acte de la vie fédérale.</w:t>
      </w:r>
    </w:p>
    <w:p w:rsidR="00034A2A" w:rsidRDefault="001F2E10">
      <w:pPr>
        <w:pStyle w:val="Titre3"/>
        <w:keepNext w:val="0"/>
        <w:rPr>
          <w:rFonts w:ascii="Calibri" w:hAnsi="Calibri"/>
        </w:rPr>
      </w:pPr>
      <w:r>
        <w:rPr>
          <w:rFonts w:ascii="Calibri" w:hAnsi="Calibri"/>
        </w:rPr>
        <w:t>Tableau Synthétique des Macro-Procédures</w:t>
      </w:r>
    </w:p>
    <w:tbl>
      <w:tblPr>
        <w:tblW w:w="9638" w:type="dxa"/>
        <w:tblLayout w:type="fixed"/>
        <w:tblCellMar>
          <w:top w:w="91" w:type="dxa"/>
          <w:left w:w="136" w:type="dxa"/>
          <w:bottom w:w="91" w:type="dxa"/>
          <w:right w:w="136" w:type="dxa"/>
        </w:tblCellMar>
        <w:tblLook w:val="04A0" w:firstRow="1" w:lastRow="0" w:firstColumn="1" w:lastColumn="0" w:noHBand="0" w:noVBand="1"/>
      </w:tblPr>
      <w:tblGrid>
        <w:gridCol w:w="1311"/>
        <w:gridCol w:w="2159"/>
        <w:gridCol w:w="1858"/>
        <w:gridCol w:w="1910"/>
        <w:gridCol w:w="2400"/>
      </w:tblGrid>
      <w:tr w:rsidR="00034A2A">
        <w:trPr>
          <w:tblHeader/>
        </w:trPr>
        <w:tc>
          <w:tcPr>
            <w:tcW w:w="1311"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rPr>
                <w:rStyle w:val="lev"/>
                <w:rFonts w:ascii="Calibri" w:hAnsi="Calibri"/>
              </w:rPr>
              <w:t>Code Procédure</w:t>
            </w:r>
          </w:p>
        </w:tc>
        <w:tc>
          <w:tcPr>
            <w:tcW w:w="2159"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rPr>
                <w:rStyle w:val="lev"/>
                <w:rFonts w:ascii="Calibri" w:hAnsi="Calibri"/>
              </w:rPr>
              <w:t>Intitulé de la Procédure</w:t>
            </w:r>
          </w:p>
        </w:tc>
        <w:tc>
          <w:tcPr>
            <w:tcW w:w="185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rPr>
                <w:rStyle w:val="lev"/>
                <w:rFonts w:ascii="Calibri" w:hAnsi="Calibri"/>
              </w:rPr>
              <w:t>Instance Responsable</w:t>
            </w:r>
          </w:p>
        </w:tc>
        <w:tc>
          <w:tcPr>
            <w:tcW w:w="1910"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rPr>
                <w:rStyle w:val="lev"/>
                <w:rFonts w:ascii="Calibri" w:hAnsi="Calibri"/>
              </w:rPr>
              <w:t>Délai d'Instruction</w:t>
            </w:r>
          </w:p>
        </w:tc>
        <w:tc>
          <w:tcPr>
            <w:tcW w:w="2400"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rPr>
                <w:rStyle w:val="lev"/>
                <w:rFonts w:ascii="Calibri" w:hAnsi="Calibri"/>
              </w:rPr>
              <w:t>Document Livrable</w:t>
            </w:r>
          </w:p>
        </w:tc>
      </w:tr>
      <w:tr w:rsidR="00034A2A">
        <w:tc>
          <w:tcPr>
            <w:tcW w:w="1311"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SOP-01</w:t>
            </w:r>
          </w:p>
        </w:tc>
        <w:tc>
          <w:tcPr>
            <w:tcW w:w="2159"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Instruction des Demandes d'Adhésion</w:t>
            </w:r>
          </w:p>
        </w:tc>
        <w:tc>
          <w:tcPr>
            <w:tcW w:w="185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Secrétariat Exécutif &amp; CA</w:t>
            </w:r>
          </w:p>
        </w:tc>
        <w:tc>
          <w:tcPr>
            <w:tcW w:w="1910"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45 jours maximum</w:t>
            </w:r>
          </w:p>
        </w:tc>
        <w:tc>
          <w:tcPr>
            <w:tcW w:w="2400"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Lettre d'Agrément + Charte d'Engagement Signée</w:t>
            </w:r>
          </w:p>
        </w:tc>
      </w:tr>
      <w:tr w:rsidR="00034A2A">
        <w:tc>
          <w:tcPr>
            <w:tcW w:w="1311"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SOP-02</w:t>
            </w:r>
          </w:p>
        </w:tc>
        <w:tc>
          <w:tcPr>
            <w:tcW w:w="2159"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Suivi, Évaluation &amp; Reporting Statistique</w:t>
            </w:r>
          </w:p>
        </w:tc>
        <w:tc>
          <w:tcPr>
            <w:tcW w:w="185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Responsable Suivi &amp; Évaluation</w:t>
            </w:r>
          </w:p>
        </w:tc>
        <w:tc>
          <w:tcPr>
            <w:tcW w:w="1910"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Permanent (Rapports trimestriels)</w:t>
            </w:r>
          </w:p>
        </w:tc>
        <w:tc>
          <w:tcPr>
            <w:tcW w:w="2400"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 xml:space="preserve">Tableau </w:t>
            </w:r>
            <w:r>
              <w:rPr>
                <w:rFonts w:ascii="Calibri" w:hAnsi="Calibri"/>
              </w:rPr>
              <w:t>de bord des KPI de la filière</w:t>
            </w:r>
          </w:p>
        </w:tc>
      </w:tr>
      <w:tr w:rsidR="00034A2A">
        <w:tc>
          <w:tcPr>
            <w:tcW w:w="1311"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SOP-03</w:t>
            </w:r>
          </w:p>
        </w:tc>
        <w:tc>
          <w:tcPr>
            <w:tcW w:w="2159"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Contrôle de Conformité Sanitaire &amp; Qualité</w:t>
            </w:r>
          </w:p>
        </w:tc>
        <w:tc>
          <w:tcPr>
            <w:tcW w:w="185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Responsable Qualité / ONSSA</w:t>
            </w:r>
          </w:p>
        </w:tc>
        <w:tc>
          <w:tcPr>
            <w:tcW w:w="1910"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Selon calendrier d'inspections</w:t>
            </w:r>
          </w:p>
        </w:tc>
        <w:tc>
          <w:tcPr>
            <w:tcW w:w="2400"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Rapport d'audit de conformité terrain</w:t>
            </w:r>
          </w:p>
        </w:tc>
      </w:tr>
      <w:tr w:rsidR="00034A2A">
        <w:tc>
          <w:tcPr>
            <w:tcW w:w="1311"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SOP-04</w:t>
            </w:r>
          </w:p>
        </w:tc>
        <w:tc>
          <w:tcPr>
            <w:tcW w:w="2159"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Gestion des Litiges et Recours Disciplinaires</w:t>
            </w:r>
          </w:p>
        </w:tc>
        <w:tc>
          <w:tcPr>
            <w:tcW w:w="185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Commission Éthique &amp; Arb</w:t>
            </w:r>
            <w:r>
              <w:rPr>
                <w:rFonts w:ascii="Calibri" w:hAnsi="Calibri"/>
              </w:rPr>
              <w:t>itrage</w:t>
            </w:r>
          </w:p>
        </w:tc>
        <w:tc>
          <w:tcPr>
            <w:tcW w:w="1910"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45 jours après notification</w:t>
            </w:r>
          </w:p>
        </w:tc>
        <w:tc>
          <w:tcPr>
            <w:tcW w:w="2400"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Procès-Verbal d'Audition et Notification de Décision</w:t>
            </w:r>
          </w:p>
        </w:tc>
      </w:tr>
    </w:tbl>
    <w:p w:rsidR="00034A2A" w:rsidRDefault="001F2E10">
      <w:pPr>
        <w:pStyle w:val="Titre3"/>
        <w:keepNext w:val="0"/>
        <w:rPr>
          <w:rFonts w:ascii="Calibri" w:hAnsi="Calibri"/>
        </w:rPr>
      </w:pPr>
      <w:r>
        <w:rPr>
          <w:rFonts w:ascii="Calibri" w:hAnsi="Calibri"/>
        </w:rPr>
        <w:t>Fiches de Procédures Détaillées (SOP)</w:t>
      </w:r>
    </w:p>
    <w:p w:rsidR="00034A2A" w:rsidRDefault="001F2E10">
      <w:pPr>
        <w:pStyle w:val="Titre4"/>
        <w:keepNext w:val="0"/>
        <w:rPr>
          <w:rFonts w:ascii="Calibri" w:hAnsi="Calibri"/>
        </w:rPr>
      </w:pPr>
      <w:r>
        <w:rPr>
          <w:rFonts w:ascii="Calibri" w:hAnsi="Calibri"/>
        </w:rPr>
        <w:t>FICHE SOP-01 : Processus d’Adhésion et Intégration des Membres</w:t>
      </w:r>
    </w:p>
    <w:p w:rsidR="00034A2A" w:rsidRDefault="001F2E10">
      <w:pPr>
        <w:pStyle w:val="Corpsdetexte"/>
        <w:numPr>
          <w:ilvl w:val="0"/>
          <w:numId w:val="6"/>
        </w:numPr>
        <w:tabs>
          <w:tab w:val="left" w:pos="0"/>
        </w:tabs>
        <w:rPr>
          <w:rFonts w:ascii="Calibri" w:hAnsi="Calibri"/>
        </w:rPr>
      </w:pPr>
      <w:r>
        <w:rPr>
          <w:rFonts w:ascii="Calibri" w:hAnsi="Calibri"/>
        </w:rPr>
        <w:t xml:space="preserve">Objectif : Standardiser le recrutement des membres pour garantir </w:t>
      </w:r>
      <w:r>
        <w:rPr>
          <w:rFonts w:ascii="Calibri" w:hAnsi="Calibri"/>
        </w:rPr>
        <w:t>la représentativité légale et éthique des deux collèges.</w:t>
      </w:r>
    </w:p>
    <w:p w:rsidR="00034A2A" w:rsidRDefault="001F2E10">
      <w:pPr>
        <w:pStyle w:val="Corpsdetexte"/>
        <w:numPr>
          <w:ilvl w:val="0"/>
          <w:numId w:val="6"/>
        </w:numPr>
        <w:tabs>
          <w:tab w:val="left" w:pos="0"/>
        </w:tabs>
        <w:rPr>
          <w:rFonts w:ascii="Calibri" w:hAnsi="Calibri"/>
        </w:rPr>
      </w:pPr>
      <w:r>
        <w:rPr>
          <w:rFonts w:ascii="Calibri" w:hAnsi="Calibri"/>
        </w:rPr>
        <w:t>Étapes Opérationnelles :</w:t>
      </w:r>
    </w:p>
    <w:p w:rsidR="00034A2A" w:rsidRDefault="001F2E10">
      <w:pPr>
        <w:pStyle w:val="Corpsdetexte"/>
        <w:numPr>
          <w:ilvl w:val="1"/>
          <w:numId w:val="6"/>
        </w:numPr>
        <w:tabs>
          <w:tab w:val="left" w:pos="0"/>
        </w:tabs>
        <w:rPr>
          <w:rFonts w:ascii="Calibri" w:hAnsi="Calibri"/>
        </w:rPr>
      </w:pPr>
      <w:r>
        <w:rPr>
          <w:rFonts w:ascii="Calibri" w:hAnsi="Calibri"/>
        </w:rPr>
        <w:t xml:space="preserve">Dépôt du dossier : Le candidat soumet un dossier complet (Statuts de l'organisation, liste certifiée des membres, attestations foncières ou d'immatriculation d'usine) auprès </w:t>
      </w:r>
      <w:r>
        <w:rPr>
          <w:rFonts w:ascii="Calibri" w:hAnsi="Calibri"/>
        </w:rPr>
        <w:t>du guichet de son collège d'appartenance.</w:t>
      </w:r>
    </w:p>
    <w:p w:rsidR="00034A2A" w:rsidRDefault="001F2E10">
      <w:pPr>
        <w:pStyle w:val="Corpsdetexte"/>
        <w:numPr>
          <w:ilvl w:val="1"/>
          <w:numId w:val="6"/>
        </w:numPr>
        <w:tabs>
          <w:tab w:val="left" w:pos="0"/>
        </w:tabs>
        <w:rPr>
          <w:rFonts w:ascii="Calibri" w:hAnsi="Calibri"/>
        </w:rPr>
      </w:pPr>
      <w:r>
        <w:rPr>
          <w:rFonts w:ascii="Calibri" w:hAnsi="Calibri"/>
        </w:rPr>
        <w:t>Pré-instruction (J+15) : Le Secrétariat Exécutif vérifie la complétude des pièces et l'absence de contentieux juridique.</w:t>
      </w:r>
    </w:p>
    <w:p w:rsidR="00034A2A" w:rsidRDefault="001F2E10">
      <w:pPr>
        <w:pStyle w:val="Corpsdetexte"/>
        <w:numPr>
          <w:ilvl w:val="1"/>
          <w:numId w:val="6"/>
        </w:numPr>
        <w:tabs>
          <w:tab w:val="left" w:pos="0"/>
        </w:tabs>
        <w:rPr>
          <w:rFonts w:ascii="Calibri" w:hAnsi="Calibri"/>
        </w:rPr>
      </w:pPr>
      <w:r>
        <w:rPr>
          <w:rFonts w:ascii="Calibri" w:hAnsi="Calibri"/>
        </w:rPr>
        <w:t xml:space="preserve">Validation par le Conseil d'Administration (J+45 maximum) : Inscription à l'ordre du jour du </w:t>
      </w:r>
      <w:r>
        <w:rPr>
          <w:rFonts w:ascii="Calibri" w:hAnsi="Calibri"/>
        </w:rPr>
        <w:t>CA pour validation collégiale par vote à la majorité simple.</w:t>
      </w:r>
    </w:p>
    <w:p w:rsidR="00034A2A" w:rsidRDefault="001F2E10">
      <w:pPr>
        <w:pStyle w:val="Corpsdetexte"/>
        <w:numPr>
          <w:ilvl w:val="1"/>
          <w:numId w:val="6"/>
        </w:numPr>
        <w:tabs>
          <w:tab w:val="left" w:pos="0"/>
        </w:tabs>
        <w:rPr>
          <w:rFonts w:ascii="Calibri" w:hAnsi="Calibri"/>
        </w:rPr>
      </w:pPr>
      <w:r>
        <w:rPr>
          <w:rFonts w:ascii="Calibri" w:hAnsi="Calibri"/>
        </w:rPr>
        <w:t>Formalisation : Signature obligatoire de la Charte d'Engagement Éthique de la FIMAROSE par le nouveau membre, paiement de la cotisation annuelle et enregistrement dans la base de données numériqu</w:t>
      </w:r>
      <w:r>
        <w:rPr>
          <w:rFonts w:ascii="Calibri" w:hAnsi="Calibri"/>
        </w:rPr>
        <w:t>e du secteur.</w:t>
      </w:r>
    </w:p>
    <w:p w:rsidR="00034A2A" w:rsidRDefault="001F2E10">
      <w:pPr>
        <w:pStyle w:val="Titre4"/>
        <w:keepNext w:val="0"/>
        <w:rPr>
          <w:rFonts w:ascii="Calibri" w:hAnsi="Calibri"/>
        </w:rPr>
      </w:pPr>
      <w:r>
        <w:rPr>
          <w:rFonts w:ascii="Calibri" w:hAnsi="Calibri"/>
        </w:rPr>
        <w:t>FICHE SOP-02 : Audit de Performance, Collecte de Données et Traçabilité</w:t>
      </w:r>
    </w:p>
    <w:p w:rsidR="00034A2A" w:rsidRDefault="001F2E10">
      <w:pPr>
        <w:pStyle w:val="Corpsdetexte"/>
        <w:numPr>
          <w:ilvl w:val="0"/>
          <w:numId w:val="7"/>
        </w:numPr>
        <w:tabs>
          <w:tab w:val="left" w:pos="0"/>
        </w:tabs>
        <w:rPr>
          <w:rFonts w:ascii="Calibri" w:hAnsi="Calibri"/>
        </w:rPr>
      </w:pPr>
      <w:r>
        <w:rPr>
          <w:rFonts w:ascii="Calibri" w:hAnsi="Calibri"/>
        </w:rPr>
        <w:t>Objectif : Alimenter de manière fiable le système d'information de la Fédération pour piloter les indicateurs clés du Contrat-Programme.</w:t>
      </w:r>
    </w:p>
    <w:p w:rsidR="00034A2A" w:rsidRDefault="001F2E10">
      <w:pPr>
        <w:pStyle w:val="Corpsdetexte"/>
        <w:numPr>
          <w:ilvl w:val="0"/>
          <w:numId w:val="7"/>
        </w:numPr>
        <w:tabs>
          <w:tab w:val="left" w:pos="0"/>
        </w:tabs>
        <w:rPr>
          <w:rFonts w:ascii="Calibri" w:hAnsi="Calibri"/>
        </w:rPr>
      </w:pPr>
      <w:r>
        <w:rPr>
          <w:rFonts w:ascii="Calibri" w:hAnsi="Calibri"/>
        </w:rPr>
        <w:t>Étapes Opérationnelles :</w:t>
      </w:r>
    </w:p>
    <w:p w:rsidR="00034A2A" w:rsidRDefault="001F2E10">
      <w:pPr>
        <w:pStyle w:val="Corpsdetexte"/>
        <w:numPr>
          <w:ilvl w:val="1"/>
          <w:numId w:val="7"/>
        </w:numPr>
        <w:tabs>
          <w:tab w:val="left" w:pos="0"/>
        </w:tabs>
        <w:rPr>
          <w:rFonts w:ascii="Calibri" w:hAnsi="Calibri"/>
        </w:rPr>
      </w:pPr>
      <w:r>
        <w:rPr>
          <w:rFonts w:ascii="Calibri" w:hAnsi="Calibri"/>
        </w:rPr>
        <w:t>Collecte</w:t>
      </w:r>
      <w:r>
        <w:rPr>
          <w:rFonts w:ascii="Calibri" w:hAnsi="Calibri"/>
        </w:rPr>
        <w:t xml:space="preserve"> Mensuelle : Déploiement par le Responsable Numérique de formulaires dématérialisés pour la saisie des données infra-mensuelles (état phytosanitaire, besoin en eau, prix moyens pratiqués sur les marchés locaux).</w:t>
      </w:r>
    </w:p>
    <w:p w:rsidR="00034A2A" w:rsidRDefault="001F2E10">
      <w:pPr>
        <w:pStyle w:val="Corpsdetexte"/>
        <w:numPr>
          <w:ilvl w:val="1"/>
          <w:numId w:val="7"/>
        </w:numPr>
        <w:tabs>
          <w:tab w:val="left" w:pos="0"/>
        </w:tabs>
        <w:rPr>
          <w:rFonts w:ascii="Calibri" w:hAnsi="Calibri"/>
        </w:rPr>
      </w:pPr>
      <w:r>
        <w:rPr>
          <w:rFonts w:ascii="Calibri" w:hAnsi="Calibri"/>
        </w:rPr>
        <w:t>Reporting Trimestriel : Consolidation des do</w:t>
      </w:r>
      <w:r>
        <w:rPr>
          <w:rFonts w:ascii="Calibri" w:hAnsi="Calibri"/>
        </w:rPr>
        <w:t>nnées par le Responsable Suivi-Évaluation pour générer le tableau de bord de la filière (KPI : Rendement à l'hectare, ratios de distillation).</w:t>
      </w:r>
    </w:p>
    <w:p w:rsidR="00034A2A" w:rsidRDefault="001F2E10">
      <w:pPr>
        <w:pStyle w:val="Corpsdetexte"/>
        <w:numPr>
          <w:ilvl w:val="1"/>
          <w:numId w:val="7"/>
        </w:numPr>
        <w:tabs>
          <w:tab w:val="left" w:pos="0"/>
        </w:tabs>
        <w:rPr>
          <w:rFonts w:ascii="Calibri" w:hAnsi="Calibri"/>
        </w:rPr>
      </w:pPr>
      <w:r>
        <w:rPr>
          <w:rFonts w:ascii="Calibri" w:hAnsi="Calibri"/>
        </w:rPr>
        <w:t>Audit Annuel Exhaustif : Réalisation d'une campagne de vérification physique et comptable des stocks en fin de sa</w:t>
      </w:r>
      <w:r>
        <w:rPr>
          <w:rFonts w:ascii="Calibri" w:hAnsi="Calibri"/>
        </w:rPr>
        <w:t>ison de récolte (mai-juin) pour certifier les volumes globaux de production de la filière.</w:t>
      </w:r>
    </w:p>
    <w:p w:rsidR="00034A2A" w:rsidRDefault="00034A2A">
      <w:pPr>
        <w:pStyle w:val="Titre4"/>
        <w:keepNext w:val="0"/>
        <w:rPr>
          <w:rFonts w:ascii="Calibri" w:hAnsi="Calibri"/>
        </w:rPr>
      </w:pPr>
    </w:p>
    <w:p w:rsidR="00034A2A" w:rsidRDefault="001F2E10">
      <w:pPr>
        <w:pStyle w:val="Titre4"/>
        <w:rPr>
          <w:rFonts w:ascii="Calibri" w:hAnsi="Calibri"/>
        </w:rPr>
      </w:pPr>
      <w:r>
        <w:rPr>
          <w:rFonts w:ascii="Calibri" w:hAnsi="Calibri"/>
        </w:rPr>
        <w:t>FICHE SOP-03 : Contrôle de Conformité aux Normes Sanitaires et Environnementales</w:t>
      </w:r>
    </w:p>
    <w:p w:rsidR="00034A2A" w:rsidRDefault="001F2E10">
      <w:pPr>
        <w:pStyle w:val="Corpsdetexte"/>
        <w:numPr>
          <w:ilvl w:val="0"/>
          <w:numId w:val="8"/>
        </w:numPr>
        <w:tabs>
          <w:tab w:val="left" w:pos="0"/>
        </w:tabs>
        <w:rPr>
          <w:rFonts w:ascii="Calibri" w:hAnsi="Calibri"/>
        </w:rPr>
      </w:pPr>
      <w:r>
        <w:rPr>
          <w:rFonts w:ascii="Calibri" w:hAnsi="Calibri"/>
        </w:rPr>
        <w:t xml:space="preserve">Objectif : Garantir la qualité premium de la production locale, préserver l'IGP et </w:t>
      </w:r>
      <w:r>
        <w:rPr>
          <w:rFonts w:ascii="Calibri" w:hAnsi="Calibri"/>
        </w:rPr>
        <w:t>assurer la sécurité sanitaire en coordination avec les autorités.</w:t>
      </w:r>
    </w:p>
    <w:p w:rsidR="00034A2A" w:rsidRDefault="001F2E10">
      <w:pPr>
        <w:pStyle w:val="Corpsdetexte"/>
        <w:numPr>
          <w:ilvl w:val="0"/>
          <w:numId w:val="8"/>
        </w:numPr>
        <w:tabs>
          <w:tab w:val="left" w:pos="0"/>
        </w:tabs>
        <w:rPr>
          <w:rFonts w:ascii="Calibri" w:hAnsi="Calibri"/>
        </w:rPr>
      </w:pPr>
      <w:r>
        <w:rPr>
          <w:rFonts w:ascii="Calibri" w:hAnsi="Calibri"/>
        </w:rPr>
        <w:t>Étapes Opérationnelles :</w:t>
      </w:r>
    </w:p>
    <w:p w:rsidR="00034A2A" w:rsidRDefault="001F2E10">
      <w:pPr>
        <w:pStyle w:val="Corpsdetexte"/>
        <w:numPr>
          <w:ilvl w:val="1"/>
          <w:numId w:val="8"/>
        </w:numPr>
        <w:tabs>
          <w:tab w:val="left" w:pos="0"/>
        </w:tabs>
        <w:rPr>
          <w:rFonts w:ascii="Calibri" w:hAnsi="Calibri"/>
        </w:rPr>
      </w:pPr>
      <w:r>
        <w:rPr>
          <w:rFonts w:ascii="Calibri" w:hAnsi="Calibri"/>
        </w:rPr>
        <w:t>Planification des inspections : Établissement par le Responsable Qualité d'un calendrier de visites inopinées sur les parcelles de culture et au sein des unités d'ex</w:t>
      </w:r>
      <w:r>
        <w:rPr>
          <w:rFonts w:ascii="Calibri" w:hAnsi="Calibri"/>
        </w:rPr>
        <w:t>traction.</w:t>
      </w:r>
    </w:p>
    <w:p w:rsidR="00034A2A" w:rsidRDefault="001F2E10">
      <w:pPr>
        <w:pStyle w:val="Corpsdetexte"/>
        <w:numPr>
          <w:ilvl w:val="1"/>
          <w:numId w:val="8"/>
        </w:numPr>
        <w:tabs>
          <w:tab w:val="left" w:pos="0"/>
        </w:tabs>
        <w:rPr>
          <w:rFonts w:ascii="Calibri" w:hAnsi="Calibri"/>
        </w:rPr>
      </w:pPr>
      <w:r>
        <w:rPr>
          <w:rFonts w:ascii="Calibri" w:hAnsi="Calibri"/>
        </w:rPr>
        <w:t>Prélèvement et Analyse : Prélèvements d’échantillons de fleurs, d’eaux florales ou d'huiles essentielles pour analyse des résidus de pesticides et validation du profil chromatographique.</w:t>
      </w:r>
    </w:p>
    <w:p w:rsidR="00034A2A" w:rsidRDefault="001F2E10">
      <w:pPr>
        <w:pStyle w:val="Corpsdetexte"/>
        <w:numPr>
          <w:ilvl w:val="1"/>
          <w:numId w:val="8"/>
        </w:numPr>
        <w:tabs>
          <w:tab w:val="left" w:pos="0"/>
        </w:tabs>
        <w:rPr>
          <w:rFonts w:ascii="Calibri" w:hAnsi="Calibri"/>
        </w:rPr>
      </w:pPr>
      <w:r>
        <w:rPr>
          <w:rFonts w:ascii="Calibri" w:hAnsi="Calibri"/>
        </w:rPr>
        <w:t>Rédaction du Rapport d'Écart : En cas de non-conformité con</w:t>
      </w:r>
      <w:r>
        <w:rPr>
          <w:rFonts w:ascii="Calibri" w:hAnsi="Calibri"/>
        </w:rPr>
        <w:t>statée (</w:t>
      </w:r>
      <w:proofErr w:type="gramStart"/>
      <w:r>
        <w:rPr>
          <w:rFonts w:ascii="Calibri" w:hAnsi="Calibri"/>
        </w:rPr>
        <w:t>ex:</w:t>
      </w:r>
      <w:proofErr w:type="gramEnd"/>
      <w:r>
        <w:rPr>
          <w:rFonts w:ascii="Calibri" w:hAnsi="Calibri"/>
        </w:rPr>
        <w:t xml:space="preserve"> utilisation d'un produit chimique interdit ou défaut d'hygiène), un rapport d'écart est immédiatement rédigé avec sommation de mise en conformité sous 15 jours.</w:t>
      </w:r>
    </w:p>
    <w:p w:rsidR="00034A2A" w:rsidRDefault="001F2E10">
      <w:pPr>
        <w:pStyle w:val="Corpsdetexte"/>
        <w:numPr>
          <w:ilvl w:val="1"/>
          <w:numId w:val="8"/>
        </w:numPr>
        <w:tabs>
          <w:tab w:val="left" w:pos="0"/>
        </w:tabs>
        <w:rPr>
          <w:rFonts w:ascii="Calibri" w:hAnsi="Calibri"/>
        </w:rPr>
      </w:pPr>
      <w:r>
        <w:rPr>
          <w:rFonts w:ascii="Calibri" w:hAnsi="Calibri"/>
        </w:rPr>
        <w:t xml:space="preserve">Alerte Institutionnelle : Si le risque sanitaire est avéré et met en péril l'image </w:t>
      </w:r>
      <w:r>
        <w:rPr>
          <w:rFonts w:ascii="Calibri" w:hAnsi="Calibri"/>
        </w:rPr>
        <w:t>de la production marocaine, le dossier est transmis sans délai à la direction régionale de l'ONSSA et à la commission de discipline.</w:t>
      </w:r>
    </w:p>
    <w:p w:rsidR="00034A2A" w:rsidRDefault="001F2E10">
      <w:pPr>
        <w:pStyle w:val="Titre4"/>
        <w:keepNext w:val="0"/>
        <w:rPr>
          <w:rFonts w:ascii="Calibri" w:hAnsi="Calibri"/>
        </w:rPr>
      </w:pPr>
      <w:r>
        <w:rPr>
          <w:rFonts w:ascii="Calibri" w:hAnsi="Calibri"/>
        </w:rPr>
        <w:t>FICHE SOP-04 : Instruction Disciplinaire, Sanctions et Droits de la Défense</w:t>
      </w:r>
    </w:p>
    <w:p w:rsidR="00034A2A" w:rsidRDefault="001F2E10">
      <w:pPr>
        <w:pStyle w:val="Corpsdetexte"/>
        <w:numPr>
          <w:ilvl w:val="0"/>
          <w:numId w:val="9"/>
        </w:numPr>
        <w:tabs>
          <w:tab w:val="left" w:pos="0"/>
        </w:tabs>
        <w:rPr>
          <w:rFonts w:ascii="Calibri" w:hAnsi="Calibri"/>
        </w:rPr>
      </w:pPr>
      <w:r>
        <w:rPr>
          <w:rFonts w:ascii="Calibri" w:hAnsi="Calibri"/>
        </w:rPr>
        <w:t xml:space="preserve">Objectif : Sanctionner les manquements </w:t>
      </w:r>
      <w:r>
        <w:rPr>
          <w:rFonts w:ascii="Calibri" w:hAnsi="Calibri"/>
        </w:rPr>
        <w:t>réglementaires tout en garantissant un procès équitable et transparent au membre incriminé.</w:t>
      </w:r>
    </w:p>
    <w:p w:rsidR="00034A2A" w:rsidRDefault="001F2E10">
      <w:pPr>
        <w:pStyle w:val="Corpsdetexte"/>
        <w:numPr>
          <w:ilvl w:val="0"/>
          <w:numId w:val="9"/>
        </w:numPr>
        <w:tabs>
          <w:tab w:val="left" w:pos="0"/>
        </w:tabs>
        <w:rPr>
          <w:rFonts w:ascii="Calibri" w:hAnsi="Calibri"/>
        </w:rPr>
      </w:pPr>
      <w:r>
        <w:rPr>
          <w:rFonts w:ascii="Calibri" w:hAnsi="Calibri"/>
        </w:rPr>
        <w:t>Étapes Opérationnelles :</w:t>
      </w:r>
    </w:p>
    <w:p w:rsidR="00034A2A" w:rsidRDefault="001F2E10">
      <w:pPr>
        <w:pStyle w:val="Corpsdetexte"/>
        <w:numPr>
          <w:ilvl w:val="1"/>
          <w:numId w:val="9"/>
        </w:numPr>
        <w:tabs>
          <w:tab w:val="left" w:pos="0"/>
        </w:tabs>
        <w:rPr>
          <w:rFonts w:ascii="Calibri" w:hAnsi="Calibri"/>
        </w:rPr>
      </w:pPr>
      <w:r>
        <w:rPr>
          <w:rFonts w:ascii="Calibri" w:hAnsi="Calibri"/>
        </w:rPr>
        <w:t>Notification Officielle : Dès réception d'un rapport de non-conformité ou d'une plainte pour comportement anti-concurrentiel, la Commission</w:t>
      </w:r>
      <w:r>
        <w:rPr>
          <w:rFonts w:ascii="Calibri" w:hAnsi="Calibri"/>
        </w:rPr>
        <w:t xml:space="preserve"> Éthique adresse une mise en demeure recommandée avec accusé de réception au membre visé.</w:t>
      </w:r>
    </w:p>
    <w:p w:rsidR="00034A2A" w:rsidRDefault="001F2E10">
      <w:pPr>
        <w:pStyle w:val="Corpsdetexte"/>
        <w:numPr>
          <w:ilvl w:val="1"/>
          <w:numId w:val="9"/>
        </w:numPr>
        <w:tabs>
          <w:tab w:val="left" w:pos="0"/>
        </w:tabs>
        <w:rPr>
          <w:rFonts w:ascii="Calibri" w:hAnsi="Calibri"/>
        </w:rPr>
      </w:pPr>
      <w:r>
        <w:rPr>
          <w:rFonts w:ascii="Calibri" w:hAnsi="Calibri"/>
        </w:rPr>
        <w:t>Délai de Réponse (15 jours) : Le membre dispose d’un délai légal de 15 jours calendaires pour soumettre ses mémoires en défense écrits.</w:t>
      </w:r>
    </w:p>
    <w:p w:rsidR="00034A2A" w:rsidRDefault="001F2E10">
      <w:pPr>
        <w:pStyle w:val="Corpsdetexte"/>
        <w:numPr>
          <w:ilvl w:val="1"/>
          <w:numId w:val="9"/>
        </w:numPr>
        <w:tabs>
          <w:tab w:val="left" w:pos="0"/>
        </w:tabs>
        <w:rPr>
          <w:rFonts w:ascii="Calibri" w:hAnsi="Calibri"/>
        </w:rPr>
      </w:pPr>
      <w:r>
        <w:rPr>
          <w:rFonts w:ascii="Calibri" w:hAnsi="Calibri"/>
        </w:rPr>
        <w:t>Audition Contradictoire : Conv</w:t>
      </w:r>
      <w:r>
        <w:rPr>
          <w:rFonts w:ascii="Calibri" w:hAnsi="Calibri"/>
        </w:rPr>
        <w:t>ocation du membre devant la Commission Éthique pour une séance d'audition orale. Le membre peut se faire assister par un conseiller juridique de son choix.</w:t>
      </w:r>
    </w:p>
    <w:p w:rsidR="00034A2A" w:rsidRDefault="001F2E10">
      <w:pPr>
        <w:pStyle w:val="Corpsdetexte"/>
        <w:numPr>
          <w:ilvl w:val="1"/>
          <w:numId w:val="9"/>
        </w:numPr>
        <w:tabs>
          <w:tab w:val="left" w:pos="0"/>
        </w:tabs>
        <w:rPr>
          <w:rFonts w:ascii="Calibri" w:hAnsi="Calibri"/>
        </w:rPr>
      </w:pPr>
      <w:r>
        <w:rPr>
          <w:rFonts w:ascii="Calibri" w:hAnsi="Calibri"/>
        </w:rPr>
        <w:t>Délibération et Notification (30 jours max) : La Commission propose la sanction au Conseil d’Adminis</w:t>
      </w:r>
      <w:r>
        <w:rPr>
          <w:rFonts w:ascii="Calibri" w:hAnsi="Calibri"/>
        </w:rPr>
        <w:t>tration qui valide la décision finale. La sentence est notifiée par voie officielle et inscrite au tableau noir interne de la Fédération.</w:t>
      </w:r>
    </w:p>
    <w:p w:rsidR="00034A2A" w:rsidRDefault="00034A2A">
      <w:pPr>
        <w:pStyle w:val="Titre1"/>
        <w:keepNext w:val="0"/>
        <w:rPr>
          <w:rFonts w:ascii="Calibri" w:hAnsi="Calibri"/>
          <w:sz w:val="28"/>
          <w:szCs w:val="28"/>
        </w:rPr>
      </w:pPr>
    </w:p>
    <w:p w:rsidR="00034A2A" w:rsidRDefault="00034A2A">
      <w:pPr>
        <w:pStyle w:val="Titre1"/>
        <w:rPr>
          <w:rFonts w:ascii="Calibri" w:hAnsi="Calibri"/>
          <w:sz w:val="28"/>
          <w:szCs w:val="28"/>
        </w:rPr>
      </w:pPr>
    </w:p>
    <w:p w:rsidR="00034A2A" w:rsidRDefault="001F2E10">
      <w:pPr>
        <w:pStyle w:val="Titre1"/>
        <w:rPr>
          <w:rFonts w:ascii="Calibri" w:hAnsi="Calibri"/>
          <w:sz w:val="28"/>
          <w:szCs w:val="28"/>
        </w:rPr>
      </w:pPr>
      <w:r>
        <w:rPr>
          <w:rFonts w:ascii="Calibri" w:hAnsi="Calibri"/>
          <w:sz w:val="28"/>
          <w:szCs w:val="28"/>
        </w:rPr>
        <w:t>PARTIE III : CAPITAL HUMAIN ET ORGANISATION</w:t>
      </w:r>
    </w:p>
    <w:p w:rsidR="00034A2A" w:rsidRDefault="001F2E10">
      <w:pPr>
        <w:pStyle w:val="Titre2"/>
        <w:keepNext w:val="0"/>
        <w:rPr>
          <w:rFonts w:ascii="Calibri" w:hAnsi="Calibri"/>
          <w:sz w:val="28"/>
          <w:szCs w:val="28"/>
        </w:rPr>
      </w:pPr>
      <w:r>
        <w:rPr>
          <w:rFonts w:ascii="Calibri" w:hAnsi="Calibri"/>
          <w:sz w:val="28"/>
          <w:szCs w:val="28"/>
        </w:rPr>
        <w:t>CODE DE CONDUITE ET ARCHITECTURE DES POSTES</w:t>
      </w:r>
    </w:p>
    <w:p w:rsidR="00034A2A" w:rsidRDefault="001F2E10">
      <w:pPr>
        <w:pStyle w:val="Titre3"/>
        <w:keepNext w:val="0"/>
        <w:rPr>
          <w:rFonts w:ascii="Calibri" w:hAnsi="Calibri"/>
        </w:rPr>
      </w:pPr>
      <w:r>
        <w:rPr>
          <w:rFonts w:ascii="Calibri" w:hAnsi="Calibri"/>
        </w:rPr>
        <w:t>1. Charte de Communication e</w:t>
      </w:r>
      <w:r>
        <w:rPr>
          <w:rFonts w:ascii="Calibri" w:hAnsi="Calibri"/>
        </w:rPr>
        <w:t>t de Déontologie Numérique</w:t>
      </w:r>
    </w:p>
    <w:p w:rsidR="00034A2A" w:rsidRDefault="001F2E10">
      <w:pPr>
        <w:pStyle w:val="Corpsdetexte"/>
        <w:rPr>
          <w:rFonts w:ascii="Calibri" w:hAnsi="Calibri"/>
        </w:rPr>
      </w:pPr>
      <w:r>
        <w:rPr>
          <w:rFonts w:ascii="Calibri" w:hAnsi="Calibri"/>
        </w:rPr>
        <w:t>Afin d'assurer des relations professionnelles saines, constructives et respectueuses, les canaux de communication officiels de la FIMAROSE (y compris les espaces d'échange instantanés et groupes de messagerie professionnels comme</w:t>
      </w:r>
      <w:r>
        <w:rPr>
          <w:rFonts w:ascii="Calibri" w:hAnsi="Calibri"/>
        </w:rPr>
        <w:t xml:space="preserve"> WhatsApp) sont régis par les règles suivantes :</w:t>
      </w:r>
    </w:p>
    <w:p w:rsidR="00034A2A" w:rsidRDefault="001F2E10">
      <w:pPr>
        <w:pStyle w:val="Corpsdetexte"/>
        <w:numPr>
          <w:ilvl w:val="0"/>
          <w:numId w:val="10"/>
        </w:numPr>
        <w:tabs>
          <w:tab w:val="left" w:pos="0"/>
        </w:tabs>
        <w:rPr>
          <w:rFonts w:ascii="Calibri" w:hAnsi="Calibri"/>
        </w:rPr>
      </w:pPr>
      <w:r>
        <w:rPr>
          <w:rFonts w:ascii="Calibri" w:hAnsi="Calibri"/>
        </w:rPr>
        <w:t>Usage Strict : Ces espaces sont exclusivement réservés aux communications officielles de la Fédération, aux partages d'informations techniques, législatives, agronomiques et commerciales liées à la rose à pa</w:t>
      </w:r>
      <w:r>
        <w:rPr>
          <w:rFonts w:ascii="Calibri" w:hAnsi="Calibri"/>
        </w:rPr>
        <w:t>rfum.</w:t>
      </w:r>
    </w:p>
    <w:p w:rsidR="00034A2A" w:rsidRDefault="001F2E10">
      <w:pPr>
        <w:pStyle w:val="Corpsdetexte"/>
        <w:numPr>
          <w:ilvl w:val="0"/>
          <w:numId w:val="10"/>
        </w:numPr>
        <w:tabs>
          <w:tab w:val="left" w:pos="0"/>
        </w:tabs>
        <w:rPr>
          <w:rFonts w:ascii="Calibri" w:hAnsi="Calibri"/>
        </w:rPr>
      </w:pPr>
      <w:r>
        <w:rPr>
          <w:rFonts w:ascii="Calibri" w:hAnsi="Calibri"/>
        </w:rPr>
        <w:t>Obligation de Réserve et Respect : Tout propos diffamatoire, injurieux, politique, syndical extra-fédéral ou portant atteinte à la dignité d'un membre ou de l'institution est strictement interdit.</w:t>
      </w:r>
    </w:p>
    <w:p w:rsidR="00034A2A" w:rsidRDefault="001F2E10">
      <w:pPr>
        <w:pStyle w:val="Corpsdetexte"/>
        <w:numPr>
          <w:ilvl w:val="0"/>
          <w:numId w:val="10"/>
        </w:numPr>
        <w:tabs>
          <w:tab w:val="left" w:pos="0"/>
        </w:tabs>
        <w:rPr>
          <w:rFonts w:ascii="Calibri" w:hAnsi="Calibri"/>
        </w:rPr>
      </w:pPr>
      <w:r>
        <w:rPr>
          <w:rFonts w:ascii="Calibri" w:hAnsi="Calibri"/>
        </w:rPr>
        <w:t>Sanction Immédiate : Tout manquement à cette charte d</w:t>
      </w:r>
      <w:r>
        <w:rPr>
          <w:rFonts w:ascii="Calibri" w:hAnsi="Calibri"/>
        </w:rPr>
        <w:t>e déontologie numérique entraîne l'exclusion conservatoire immédiate des canaux de communication par l'administrateur de la plateforme, sans préjudice des sanctions disciplinaires de catégorie 1 prévues par le présent règlement.</w:t>
      </w:r>
    </w:p>
    <w:p w:rsidR="00034A2A" w:rsidRDefault="00034A2A">
      <w:pPr>
        <w:pStyle w:val="Titre3"/>
        <w:keepNext w:val="0"/>
        <w:rPr>
          <w:rFonts w:ascii="Calibri" w:hAnsi="Calibri"/>
        </w:rPr>
      </w:pPr>
    </w:p>
    <w:p w:rsidR="00034A2A" w:rsidRDefault="001F2E10">
      <w:pPr>
        <w:pStyle w:val="Titre3"/>
        <w:rPr>
          <w:rFonts w:ascii="Calibri" w:hAnsi="Calibri"/>
        </w:rPr>
      </w:pPr>
      <w:r>
        <w:rPr>
          <w:rFonts w:ascii="Calibri" w:hAnsi="Calibri"/>
        </w:rPr>
        <w:t>2. Organigramme Fonctionne</w:t>
      </w:r>
      <w:r>
        <w:rPr>
          <w:rFonts w:ascii="Calibri" w:hAnsi="Calibri"/>
        </w:rPr>
        <w:t>l du Secrétariat Exécutif</w: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2407"/>
        <w:gridCol w:w="2407"/>
        <w:gridCol w:w="2407"/>
        <w:gridCol w:w="2407"/>
      </w:tblGrid>
      <w:tr w:rsidR="00034A2A">
        <w:tc>
          <w:tcPr>
            <w:tcW w:w="9638" w:type="dxa"/>
            <w:gridSpan w:val="4"/>
            <w:tcBorders>
              <w:top w:val="single" w:sz="4" w:space="0" w:color="000000"/>
              <w:left w:val="single" w:sz="4" w:space="0" w:color="000000"/>
              <w:bottom w:val="single" w:sz="4" w:space="0" w:color="000000"/>
              <w:right w:val="single" w:sz="4" w:space="0" w:color="000000"/>
            </w:tcBorders>
          </w:tcPr>
          <w:p w:rsidR="00034A2A" w:rsidRDefault="001F2E10">
            <w:pPr>
              <w:pStyle w:val="TableContents"/>
              <w:rPr>
                <w:rFonts w:ascii="Calibri" w:hAnsi="Calibri"/>
              </w:rPr>
            </w:pPr>
            <w:r>
              <w:rPr>
                <w:rFonts w:ascii="Calibri" w:hAnsi="Calibri"/>
                <w:noProof/>
                <w:lang w:val="fr-FR" w:eastAsia="fr-FR" w:bidi="ar-SA"/>
              </w:rPr>
              <mc:AlternateContent>
                <mc:Choice Requires="wps">
                  <w:drawing>
                    <wp:anchor distT="0" distB="0" distL="0" distR="0" simplePos="0" relativeHeight="4" behindDoc="0" locked="0" layoutInCell="1" allowOverlap="1">
                      <wp:simplePos x="0" y="0"/>
                      <wp:positionH relativeFrom="column">
                        <wp:posOffset>5263515</wp:posOffset>
                      </wp:positionH>
                      <wp:positionV relativeFrom="paragraph">
                        <wp:posOffset>542290</wp:posOffset>
                      </wp:positionV>
                      <wp:extent cx="635" cy="240030"/>
                      <wp:effectExtent l="59055" t="18415" r="58420" b="0"/>
                      <wp:wrapNone/>
                      <wp:docPr id="3" name="Line 5"/>
                      <wp:cNvGraphicFramePr/>
                      <a:graphic xmlns:a="http://schemas.openxmlformats.org/drawingml/2006/main">
                        <a:graphicData uri="http://schemas.microsoft.com/office/word/2010/wordprocessingShape">
                          <wps:wsp>
                            <wps:cNvCnPr/>
                            <wps:spPr>
                              <a:xfrm flipH="1">
                                <a:off x="0" y="0"/>
                                <a:ext cx="720" cy="240120"/>
                              </a:xfrm>
                              <a:prstGeom prst="line">
                                <a:avLst/>
                              </a:prstGeom>
                              <a:ln w="36360">
                                <a:solidFill>
                                  <a:srgbClr val="3465A4"/>
                                </a:solidFill>
                                <a:round/>
                                <a:tailEnd type="triangle" w="med" len="med"/>
                              </a:ln>
                            </wps:spPr>
                            <wps:style>
                              <a:lnRef idx="0">
                                <a:scrgbClr r="0" g="0" b="0"/>
                              </a:lnRef>
                              <a:fillRef idx="0">
                                <a:scrgbClr r="0" g="0" b="0"/>
                              </a:fillRef>
                              <a:effectRef idx="0">
                                <a:scrgbClr r="0" g="0" b="0"/>
                              </a:effectRef>
                              <a:fontRef idx="minor"/>
                            </wps:style>
                            <wps:bodyPr/>
                          </wps:wsp>
                        </a:graphicData>
                      </a:graphic>
                    </wp:anchor>
                  </w:drawing>
                </mc:Choice>
                <mc:Fallback>
                  <w:pict>
                    <v:line id="shape_0" from="414.45pt,42.7pt" to="414.45pt,61.55pt" ID="Line 5" stroked="t" o:allowincell="f" style="position:absolute;flip:x">
                      <v:stroke color="#3465a4" weight="36360" endarrow="block" endarrowwidth="medium" endarrowlength="medium" joinstyle="round" endcap="flat"/>
                      <v:fill o:detectmouseclick="t" on="false"/>
                      <w10:wrap type="none"/>
                    </v:line>
                  </w:pict>
                </mc:Fallback>
              </mc:AlternateContent>
            </w:r>
          </w:p>
          <w:p w:rsidR="00034A2A" w:rsidRDefault="001F2E10">
            <w:pPr>
              <w:pStyle w:val="TableContents"/>
              <w:jc w:val="center"/>
            </w:pPr>
            <w:r>
              <w:rPr>
                <w:rStyle w:val="SourceText"/>
                <w:rFonts w:ascii="Calibri" w:hAnsi="Calibri"/>
              </w:rPr>
              <w:t>COORDINATEUR EXÉCUTIF</w:t>
            </w:r>
          </w:p>
          <w:p w:rsidR="00034A2A" w:rsidRDefault="001F2E10">
            <w:pPr>
              <w:pStyle w:val="PreformattedText"/>
              <w:jc w:val="center"/>
            </w:pPr>
            <w:r>
              <w:rPr>
                <w:rStyle w:val="SourceText"/>
                <w:rFonts w:ascii="Calibri" w:hAnsi="Calibri"/>
              </w:rPr>
              <w:t>(Direction Générale &amp; Stratégie)</w:t>
            </w:r>
          </w:p>
        </w:tc>
      </w:tr>
      <w:tr w:rsidR="00034A2A">
        <w:tc>
          <w:tcPr>
            <w:tcW w:w="9638" w:type="dxa"/>
            <w:gridSpan w:val="4"/>
            <w:tcBorders>
              <w:left w:val="single" w:sz="4" w:space="0" w:color="000000"/>
              <w:bottom w:val="single" w:sz="4" w:space="0" w:color="000000"/>
              <w:right w:val="single" w:sz="4" w:space="0" w:color="000000"/>
            </w:tcBorders>
          </w:tcPr>
          <w:p w:rsidR="00034A2A" w:rsidRDefault="00034A2A">
            <w:pPr>
              <w:pStyle w:val="TableContents"/>
              <w:rPr>
                <w:rFonts w:ascii="Calibri" w:hAnsi="Calibri"/>
              </w:rPr>
            </w:pPr>
          </w:p>
        </w:tc>
      </w:tr>
      <w:tr w:rsidR="00034A2A">
        <w:tc>
          <w:tcPr>
            <w:tcW w:w="2409" w:type="dxa"/>
            <w:tcBorders>
              <w:left w:val="single" w:sz="4" w:space="0" w:color="000000"/>
              <w:bottom w:val="single" w:sz="4" w:space="0" w:color="000000"/>
            </w:tcBorders>
          </w:tcPr>
          <w:p w:rsidR="00034A2A" w:rsidRDefault="001F2E10">
            <w:pPr>
              <w:pStyle w:val="PreformattedText"/>
            </w:pPr>
            <w:proofErr w:type="gramStart"/>
            <w:r>
              <w:rPr>
                <w:rStyle w:val="SourceText"/>
                <w:rFonts w:ascii="Calibri" w:hAnsi="Calibri"/>
              </w:rPr>
              <w:t>RESPONSABLE  SUIVI</w:t>
            </w:r>
            <w:proofErr w:type="gramEnd"/>
            <w:r>
              <w:rPr>
                <w:rStyle w:val="SourceText"/>
                <w:rFonts w:ascii="Calibri" w:hAnsi="Calibri"/>
              </w:rPr>
              <w:t>, ÉVAL&amp; NUMÉRIQUE</w:t>
            </w:r>
          </w:p>
        </w:tc>
        <w:tc>
          <w:tcPr>
            <w:tcW w:w="2410" w:type="dxa"/>
            <w:tcBorders>
              <w:left w:val="single" w:sz="4" w:space="0" w:color="000000"/>
              <w:bottom w:val="single" w:sz="4" w:space="0" w:color="000000"/>
            </w:tcBorders>
          </w:tcPr>
          <w:p w:rsidR="00034A2A" w:rsidRDefault="001F2E10">
            <w:pPr>
              <w:pStyle w:val="PreformattedText"/>
            </w:pPr>
            <w:r>
              <w:rPr>
                <w:rStyle w:val="SourceText"/>
                <w:rFonts w:ascii="Calibri" w:hAnsi="Calibri"/>
              </w:rPr>
              <w:t>RESPONSABLE QUALITÉ &amp; CONFORMITÉ</w:t>
            </w:r>
          </w:p>
        </w:tc>
        <w:tc>
          <w:tcPr>
            <w:tcW w:w="2409" w:type="dxa"/>
            <w:tcBorders>
              <w:left w:val="single" w:sz="4" w:space="0" w:color="000000"/>
              <w:bottom w:val="single" w:sz="4" w:space="0" w:color="000000"/>
            </w:tcBorders>
          </w:tcPr>
          <w:p w:rsidR="00034A2A" w:rsidRDefault="001F2E10">
            <w:pPr>
              <w:pStyle w:val="PreformattedText"/>
            </w:pPr>
            <w:r>
              <w:rPr>
                <w:rStyle w:val="SourceText"/>
                <w:rFonts w:ascii="Calibri" w:hAnsi="Calibri"/>
              </w:rPr>
              <w:t>RESPONSABLE FORMATION &amp; TRANSFERT</w:t>
            </w:r>
          </w:p>
        </w:tc>
        <w:tc>
          <w:tcPr>
            <w:tcW w:w="2410" w:type="dxa"/>
            <w:tcBorders>
              <w:left w:val="single" w:sz="4" w:space="0" w:color="000000"/>
              <w:bottom w:val="single" w:sz="4" w:space="0" w:color="000000"/>
              <w:right w:val="single" w:sz="4" w:space="0" w:color="000000"/>
            </w:tcBorders>
          </w:tcPr>
          <w:p w:rsidR="00034A2A" w:rsidRDefault="001F2E10">
            <w:pPr>
              <w:pStyle w:val="TableContents"/>
            </w:pPr>
            <w:r>
              <w:rPr>
                <w:rStyle w:val="SourceText"/>
                <w:rFonts w:ascii="Calibri" w:hAnsi="Calibri"/>
                <w:sz w:val="20"/>
                <w:szCs w:val="20"/>
              </w:rPr>
              <w:t>RESPONSABLE</w:t>
            </w:r>
          </w:p>
          <w:p w:rsidR="00034A2A" w:rsidRDefault="001F2E10">
            <w:pPr>
              <w:pStyle w:val="TableContents"/>
            </w:pPr>
            <w:r>
              <w:rPr>
                <w:rStyle w:val="SourceText"/>
                <w:rFonts w:ascii="Calibri" w:hAnsi="Calibri"/>
                <w:sz w:val="20"/>
                <w:szCs w:val="20"/>
              </w:rPr>
              <w:t xml:space="preserve">MARKETING </w:t>
            </w:r>
            <w:proofErr w:type="gramStart"/>
            <w:r>
              <w:rPr>
                <w:rStyle w:val="SourceText"/>
                <w:rFonts w:ascii="Calibri" w:hAnsi="Calibri"/>
                <w:sz w:val="20"/>
                <w:szCs w:val="20"/>
              </w:rPr>
              <w:t>&amp;  VALORISATION</w:t>
            </w:r>
            <w:proofErr w:type="gramEnd"/>
          </w:p>
        </w:tc>
      </w:tr>
    </w:tbl>
    <w:p w:rsidR="00034A2A" w:rsidRDefault="00034A2A">
      <w:pPr>
        <w:pStyle w:val="Corpsdetexte"/>
        <w:rPr>
          <w:rFonts w:ascii="Calibri" w:hAnsi="Calibri"/>
        </w:rPr>
      </w:pPr>
    </w:p>
    <w:p w:rsidR="00034A2A" w:rsidRDefault="001F2E10">
      <w:pPr>
        <w:pStyle w:val="Titre4"/>
        <w:keepNext w:val="0"/>
        <w:rPr>
          <w:rFonts w:ascii="Calibri" w:hAnsi="Calibri"/>
        </w:rPr>
      </w:pPr>
      <w:r>
        <w:rPr>
          <w:rFonts w:ascii="Calibri" w:hAnsi="Calibri"/>
        </w:rPr>
        <w:t xml:space="preserve">Fiche de Poste 1 : </w:t>
      </w:r>
      <w:r>
        <w:rPr>
          <w:rFonts w:ascii="Calibri" w:hAnsi="Calibri"/>
        </w:rPr>
        <w:t>Coordinateur Exécutif (Chief Executive Officer)</w:t>
      </w:r>
    </w:p>
    <w:p w:rsidR="00034A2A" w:rsidRDefault="001F2E10">
      <w:pPr>
        <w:pStyle w:val="Corpsdetexte"/>
        <w:numPr>
          <w:ilvl w:val="0"/>
          <w:numId w:val="11"/>
        </w:numPr>
        <w:tabs>
          <w:tab w:val="left" w:pos="0"/>
        </w:tabs>
        <w:rPr>
          <w:rFonts w:ascii="Calibri" w:hAnsi="Calibri"/>
        </w:rPr>
      </w:pPr>
      <w:r>
        <w:rPr>
          <w:rFonts w:ascii="Calibri" w:hAnsi="Calibri"/>
        </w:rPr>
        <w:t>Mission Principale : Assurer la direction opérationnelle de la Fédération sous l'autorité du Président du Conseil d'Administration. Il est le garant de la convergence des projets avec les indicateurs du Contr</w:t>
      </w:r>
      <w:r>
        <w:rPr>
          <w:rFonts w:ascii="Calibri" w:hAnsi="Calibri"/>
        </w:rPr>
        <w:t>at-Programme 2022-2030.</w:t>
      </w:r>
    </w:p>
    <w:p w:rsidR="00034A2A" w:rsidRDefault="001F2E10">
      <w:pPr>
        <w:pStyle w:val="Corpsdetexte"/>
        <w:numPr>
          <w:ilvl w:val="0"/>
          <w:numId w:val="11"/>
        </w:numPr>
        <w:tabs>
          <w:tab w:val="left" w:pos="0"/>
        </w:tabs>
        <w:rPr>
          <w:rFonts w:ascii="Calibri" w:hAnsi="Calibri"/>
        </w:rPr>
      </w:pPr>
      <w:r>
        <w:rPr>
          <w:rFonts w:ascii="Calibri" w:hAnsi="Calibri"/>
        </w:rPr>
        <w:t>Responsabilités Clés :</w:t>
      </w:r>
    </w:p>
    <w:p w:rsidR="00034A2A" w:rsidRDefault="001F2E10">
      <w:pPr>
        <w:pStyle w:val="Corpsdetexte"/>
        <w:numPr>
          <w:ilvl w:val="1"/>
          <w:numId w:val="11"/>
        </w:numPr>
        <w:tabs>
          <w:tab w:val="left" w:pos="0"/>
        </w:tabs>
        <w:rPr>
          <w:rFonts w:ascii="Calibri" w:hAnsi="Calibri"/>
        </w:rPr>
      </w:pPr>
      <w:r>
        <w:rPr>
          <w:rFonts w:ascii="Calibri" w:hAnsi="Calibri"/>
        </w:rPr>
        <w:t>Piloter l’exécution des délibérations du Conseil d'Administration et des Assemblées Générales.</w:t>
      </w:r>
    </w:p>
    <w:p w:rsidR="00034A2A" w:rsidRDefault="001F2E10">
      <w:pPr>
        <w:pStyle w:val="Corpsdetexte"/>
        <w:numPr>
          <w:ilvl w:val="1"/>
          <w:numId w:val="11"/>
        </w:numPr>
        <w:tabs>
          <w:tab w:val="left" w:pos="0"/>
        </w:tabs>
        <w:rPr>
          <w:rFonts w:ascii="Calibri" w:hAnsi="Calibri"/>
        </w:rPr>
      </w:pPr>
      <w:r>
        <w:rPr>
          <w:rFonts w:ascii="Calibri" w:hAnsi="Calibri"/>
        </w:rPr>
        <w:t>Manager l’équipe technique et coordonner les actions inter-collèges.</w:t>
      </w:r>
    </w:p>
    <w:p w:rsidR="00034A2A" w:rsidRDefault="001F2E10">
      <w:pPr>
        <w:pStyle w:val="Corpsdetexte"/>
        <w:numPr>
          <w:ilvl w:val="1"/>
          <w:numId w:val="11"/>
        </w:numPr>
        <w:tabs>
          <w:tab w:val="left" w:pos="0"/>
        </w:tabs>
        <w:rPr>
          <w:rFonts w:ascii="Calibri" w:hAnsi="Calibri"/>
        </w:rPr>
      </w:pPr>
      <w:r>
        <w:rPr>
          <w:rFonts w:ascii="Calibri" w:hAnsi="Calibri"/>
        </w:rPr>
        <w:t>Représenter la Fédération auprès des partenai</w:t>
      </w:r>
      <w:r>
        <w:rPr>
          <w:rFonts w:ascii="Calibri" w:hAnsi="Calibri"/>
        </w:rPr>
        <w:t>res institutionnels nationaux (Ministère de l'Agriculture, ADA, COMADER) et internationaux.</w:t>
      </w:r>
    </w:p>
    <w:p w:rsidR="00034A2A" w:rsidRDefault="001F2E10">
      <w:pPr>
        <w:pStyle w:val="Corpsdetexte"/>
        <w:numPr>
          <w:ilvl w:val="1"/>
          <w:numId w:val="11"/>
        </w:numPr>
        <w:tabs>
          <w:tab w:val="left" w:pos="0"/>
        </w:tabs>
        <w:rPr>
          <w:rFonts w:ascii="Calibri" w:hAnsi="Calibri"/>
        </w:rPr>
      </w:pPr>
      <w:r>
        <w:rPr>
          <w:rFonts w:ascii="Calibri" w:hAnsi="Calibri"/>
        </w:rPr>
        <w:t>Superviser l'élaboration du budget prévisionnel et des rapports de performance financiers.</w:t>
      </w:r>
    </w:p>
    <w:p w:rsidR="00034A2A" w:rsidRDefault="001F2E10">
      <w:pPr>
        <w:pStyle w:val="Corpsdetexte"/>
        <w:numPr>
          <w:ilvl w:val="0"/>
          <w:numId w:val="11"/>
        </w:numPr>
        <w:tabs>
          <w:tab w:val="left" w:pos="0"/>
        </w:tabs>
        <w:rPr>
          <w:rFonts w:ascii="Calibri" w:hAnsi="Calibri"/>
        </w:rPr>
      </w:pPr>
      <w:r>
        <w:rPr>
          <w:rFonts w:ascii="Calibri" w:hAnsi="Calibri"/>
        </w:rPr>
        <w:t>Profil Requis : une expérience minimale de 8 ans dans la gestion des stru</w:t>
      </w:r>
      <w:r>
        <w:rPr>
          <w:rFonts w:ascii="Calibri" w:hAnsi="Calibri"/>
        </w:rPr>
        <w:t>ctures interprofessionnelles.</w:t>
      </w:r>
    </w:p>
    <w:p w:rsidR="00034A2A" w:rsidRDefault="001F2E10">
      <w:pPr>
        <w:pStyle w:val="Titre4"/>
        <w:keepNext w:val="0"/>
        <w:rPr>
          <w:rFonts w:ascii="Calibri" w:hAnsi="Calibri"/>
        </w:rPr>
      </w:pPr>
      <w:r>
        <w:rPr>
          <w:rFonts w:ascii="Calibri" w:hAnsi="Calibri"/>
        </w:rPr>
        <w:t>Fiche de Poste 2 : Responsable Suivi, Évaluation et Transition Numérique</w:t>
      </w:r>
    </w:p>
    <w:p w:rsidR="00034A2A" w:rsidRDefault="001F2E10">
      <w:pPr>
        <w:pStyle w:val="Corpsdetexte"/>
        <w:numPr>
          <w:ilvl w:val="0"/>
          <w:numId w:val="12"/>
        </w:numPr>
        <w:tabs>
          <w:tab w:val="left" w:pos="0"/>
        </w:tabs>
        <w:rPr>
          <w:rFonts w:ascii="Calibri" w:hAnsi="Calibri"/>
        </w:rPr>
      </w:pPr>
      <w:r>
        <w:rPr>
          <w:rFonts w:ascii="Calibri" w:hAnsi="Calibri"/>
        </w:rPr>
        <w:t>Mission Principale : Développer, alimenter et analyser les outils statistiques de la filière pour mesurer l'état d'avancement des objectifs de production</w:t>
      </w:r>
      <w:r>
        <w:rPr>
          <w:rFonts w:ascii="Calibri" w:hAnsi="Calibri"/>
        </w:rPr>
        <w:t>, de rendement et d’agroécologie.</w:t>
      </w:r>
    </w:p>
    <w:p w:rsidR="00034A2A" w:rsidRDefault="001F2E10">
      <w:pPr>
        <w:pStyle w:val="Corpsdetexte"/>
        <w:numPr>
          <w:ilvl w:val="0"/>
          <w:numId w:val="12"/>
        </w:numPr>
        <w:tabs>
          <w:tab w:val="left" w:pos="0"/>
        </w:tabs>
        <w:rPr>
          <w:rFonts w:ascii="Calibri" w:hAnsi="Calibri"/>
        </w:rPr>
      </w:pPr>
      <w:r>
        <w:rPr>
          <w:rFonts w:ascii="Calibri" w:hAnsi="Calibri"/>
        </w:rPr>
        <w:t>Responsabilités Clés :</w:t>
      </w:r>
    </w:p>
    <w:p w:rsidR="00034A2A" w:rsidRDefault="001F2E10">
      <w:pPr>
        <w:pStyle w:val="Corpsdetexte"/>
        <w:numPr>
          <w:ilvl w:val="1"/>
          <w:numId w:val="12"/>
        </w:numPr>
        <w:tabs>
          <w:tab w:val="left" w:pos="0"/>
        </w:tabs>
        <w:rPr>
          <w:rFonts w:ascii="Calibri" w:hAnsi="Calibri"/>
        </w:rPr>
      </w:pPr>
      <w:r>
        <w:rPr>
          <w:rFonts w:ascii="Calibri" w:hAnsi="Calibri"/>
        </w:rPr>
        <w:t>Concevoir et mettre à jour les tableaux de bord numériques (Dashboards de la filière).</w:t>
      </w:r>
    </w:p>
    <w:p w:rsidR="00034A2A" w:rsidRDefault="001F2E10">
      <w:pPr>
        <w:pStyle w:val="Corpsdetexte"/>
        <w:numPr>
          <w:ilvl w:val="1"/>
          <w:numId w:val="12"/>
        </w:numPr>
        <w:tabs>
          <w:tab w:val="left" w:pos="0"/>
        </w:tabs>
        <w:rPr>
          <w:rFonts w:ascii="Calibri" w:hAnsi="Calibri"/>
        </w:rPr>
      </w:pPr>
      <w:r>
        <w:rPr>
          <w:rFonts w:ascii="Calibri" w:hAnsi="Calibri"/>
        </w:rPr>
        <w:t>Gérer la plateforme de traçabilité numérique de la rose, de la parcelle jusqu'à l'exportation.</w:t>
      </w:r>
    </w:p>
    <w:p w:rsidR="00034A2A" w:rsidRDefault="001F2E10">
      <w:pPr>
        <w:pStyle w:val="Corpsdetexte"/>
        <w:numPr>
          <w:ilvl w:val="1"/>
          <w:numId w:val="12"/>
        </w:numPr>
        <w:tabs>
          <w:tab w:val="left" w:pos="0"/>
        </w:tabs>
        <w:rPr>
          <w:rFonts w:ascii="Calibri" w:hAnsi="Calibri"/>
        </w:rPr>
      </w:pPr>
      <w:r>
        <w:rPr>
          <w:rFonts w:ascii="Calibri" w:hAnsi="Calibri"/>
        </w:rPr>
        <w:t xml:space="preserve">Rédiger les </w:t>
      </w:r>
      <w:r>
        <w:rPr>
          <w:rFonts w:ascii="Calibri" w:hAnsi="Calibri"/>
        </w:rPr>
        <w:t>rapports d’évaluation trimestriels et annuels à l'attention du Ministère de tutelle.</w:t>
      </w:r>
    </w:p>
    <w:p w:rsidR="00034A2A" w:rsidRDefault="001F2E10">
      <w:pPr>
        <w:pStyle w:val="Corpsdetexte"/>
        <w:numPr>
          <w:ilvl w:val="1"/>
          <w:numId w:val="12"/>
        </w:numPr>
        <w:tabs>
          <w:tab w:val="left" w:pos="0"/>
        </w:tabs>
        <w:rPr>
          <w:rFonts w:ascii="Calibri" w:hAnsi="Calibri"/>
        </w:rPr>
      </w:pPr>
      <w:r>
        <w:rPr>
          <w:rFonts w:ascii="Calibri" w:hAnsi="Calibri"/>
        </w:rPr>
        <w:t>Assurer la sécurité et l'intégrité des bases de données des adhérents.</w:t>
      </w:r>
    </w:p>
    <w:p w:rsidR="00034A2A" w:rsidRDefault="001F2E10">
      <w:pPr>
        <w:pStyle w:val="Corpsdetexte"/>
        <w:numPr>
          <w:ilvl w:val="0"/>
          <w:numId w:val="12"/>
        </w:numPr>
        <w:tabs>
          <w:tab w:val="left" w:pos="0"/>
        </w:tabs>
        <w:rPr>
          <w:rFonts w:ascii="Calibri" w:hAnsi="Calibri"/>
        </w:rPr>
      </w:pPr>
      <w:r>
        <w:rPr>
          <w:rFonts w:ascii="Calibri" w:hAnsi="Calibri"/>
        </w:rPr>
        <w:t>Profil Requis : expérience en Systèmes d'Information Géographique (SIG) ou Statisicien Agricole.</w:t>
      </w:r>
    </w:p>
    <w:p w:rsidR="00034A2A" w:rsidRDefault="001F2E10">
      <w:pPr>
        <w:pStyle w:val="Titre4"/>
        <w:keepNext w:val="0"/>
        <w:rPr>
          <w:rFonts w:ascii="Calibri" w:hAnsi="Calibri"/>
        </w:rPr>
      </w:pPr>
      <w:r>
        <w:rPr>
          <w:rFonts w:ascii="Calibri" w:hAnsi="Calibri"/>
        </w:rPr>
        <w:t>Fic</w:t>
      </w:r>
      <w:r>
        <w:rPr>
          <w:rFonts w:ascii="Calibri" w:hAnsi="Calibri"/>
        </w:rPr>
        <w:t>he de Poste 3 : Responsable Qualité, Sécurité Sanitaire et Normes Environnementales</w:t>
      </w:r>
    </w:p>
    <w:p w:rsidR="00034A2A" w:rsidRDefault="001F2E10">
      <w:pPr>
        <w:pStyle w:val="Corpsdetexte"/>
        <w:numPr>
          <w:ilvl w:val="0"/>
          <w:numId w:val="13"/>
        </w:numPr>
        <w:tabs>
          <w:tab w:val="left" w:pos="0"/>
        </w:tabs>
        <w:rPr>
          <w:rFonts w:ascii="Calibri" w:hAnsi="Calibri"/>
        </w:rPr>
      </w:pPr>
      <w:r>
        <w:rPr>
          <w:rFonts w:ascii="Calibri" w:hAnsi="Calibri"/>
        </w:rPr>
        <w:t>Mission Principale : Assurer la conformité réglementaire de la filière vis-à-vis des exigences d'hygiène (ONSSA) et mener la transition de la vallée vers des pratiques éco-</w:t>
      </w:r>
      <w:r>
        <w:rPr>
          <w:rFonts w:ascii="Calibri" w:hAnsi="Calibri"/>
        </w:rPr>
        <w:t>responsables à haute valeur environnementale.</w:t>
      </w:r>
    </w:p>
    <w:p w:rsidR="00034A2A" w:rsidRDefault="001F2E10">
      <w:pPr>
        <w:pStyle w:val="Corpsdetexte"/>
        <w:numPr>
          <w:ilvl w:val="0"/>
          <w:numId w:val="13"/>
        </w:numPr>
        <w:tabs>
          <w:tab w:val="left" w:pos="0"/>
        </w:tabs>
        <w:rPr>
          <w:rFonts w:ascii="Calibri" w:hAnsi="Calibri"/>
        </w:rPr>
      </w:pPr>
      <w:r>
        <w:rPr>
          <w:rFonts w:ascii="Calibri" w:hAnsi="Calibri"/>
        </w:rPr>
        <w:t>Responsabilités Clés :</w:t>
      </w:r>
    </w:p>
    <w:p w:rsidR="00034A2A" w:rsidRDefault="001F2E10">
      <w:pPr>
        <w:pStyle w:val="Corpsdetexte"/>
        <w:numPr>
          <w:ilvl w:val="1"/>
          <w:numId w:val="13"/>
        </w:numPr>
        <w:tabs>
          <w:tab w:val="left" w:pos="0"/>
        </w:tabs>
        <w:rPr>
          <w:rFonts w:ascii="Calibri" w:hAnsi="Calibri"/>
        </w:rPr>
      </w:pPr>
      <w:r>
        <w:rPr>
          <w:rFonts w:ascii="Calibri" w:hAnsi="Calibri"/>
        </w:rPr>
        <w:t>Coordonner les relations de contrôle avec les inspecteurs de l'ONSSA.</w:t>
      </w:r>
    </w:p>
    <w:p w:rsidR="00034A2A" w:rsidRDefault="001F2E10">
      <w:pPr>
        <w:pStyle w:val="Corpsdetexte"/>
        <w:numPr>
          <w:ilvl w:val="1"/>
          <w:numId w:val="13"/>
        </w:numPr>
        <w:tabs>
          <w:tab w:val="left" w:pos="0"/>
        </w:tabs>
        <w:rPr>
          <w:rFonts w:ascii="Calibri" w:hAnsi="Calibri"/>
        </w:rPr>
      </w:pPr>
      <w:r>
        <w:rPr>
          <w:rFonts w:ascii="Calibri" w:hAnsi="Calibri"/>
        </w:rPr>
        <w:t>Accompagner les unités artisanales et industrielles dans la mise en place des protocoles HACCP et des normes ISO.</w:t>
      </w:r>
    </w:p>
    <w:p w:rsidR="00034A2A" w:rsidRDefault="001F2E10">
      <w:pPr>
        <w:pStyle w:val="Corpsdetexte"/>
        <w:numPr>
          <w:ilvl w:val="1"/>
          <w:numId w:val="13"/>
        </w:numPr>
        <w:tabs>
          <w:tab w:val="left" w:pos="0"/>
        </w:tabs>
        <w:rPr>
          <w:rFonts w:ascii="Calibri" w:hAnsi="Calibri"/>
        </w:rPr>
      </w:pPr>
      <w:r>
        <w:rPr>
          <w:rFonts w:ascii="Calibri" w:hAnsi="Calibri"/>
        </w:rPr>
        <w:t>Réd</w:t>
      </w:r>
      <w:r>
        <w:rPr>
          <w:rFonts w:ascii="Calibri" w:hAnsi="Calibri"/>
        </w:rPr>
        <w:t>iger et diffuser les guides de bonnes pratiques phytosanitaires et agroécologiques (</w:t>
      </w:r>
      <w:proofErr w:type="gramStart"/>
      <w:r>
        <w:rPr>
          <w:rFonts w:ascii="Calibri" w:hAnsi="Calibri"/>
        </w:rPr>
        <w:t>ex:</w:t>
      </w:r>
      <w:proofErr w:type="gramEnd"/>
      <w:r>
        <w:rPr>
          <w:rFonts w:ascii="Calibri" w:hAnsi="Calibri"/>
        </w:rPr>
        <w:t xml:space="preserve"> fertilisation organique, gestion de l'eau par goutte-à-goutte, utilisation de la lutte biologique).</w:t>
      </w:r>
    </w:p>
    <w:p w:rsidR="00034A2A" w:rsidRDefault="001F2E10">
      <w:pPr>
        <w:pStyle w:val="Corpsdetexte"/>
        <w:numPr>
          <w:ilvl w:val="1"/>
          <w:numId w:val="13"/>
        </w:numPr>
        <w:tabs>
          <w:tab w:val="left" w:pos="0"/>
        </w:tabs>
        <w:rPr>
          <w:rFonts w:ascii="Calibri" w:hAnsi="Calibri"/>
        </w:rPr>
      </w:pPr>
      <w:r>
        <w:rPr>
          <w:rFonts w:ascii="Calibri" w:hAnsi="Calibri"/>
        </w:rPr>
        <w:t>Superviser le respect du cahier des charges de l'IGP "Rose de Kelaât</w:t>
      </w:r>
      <w:r>
        <w:rPr>
          <w:rFonts w:ascii="Calibri" w:hAnsi="Calibri"/>
        </w:rPr>
        <w:t xml:space="preserve"> M'gouna".</w:t>
      </w:r>
    </w:p>
    <w:p w:rsidR="00034A2A" w:rsidRDefault="001F2E10">
      <w:pPr>
        <w:pStyle w:val="Corpsdetexte"/>
        <w:numPr>
          <w:ilvl w:val="0"/>
          <w:numId w:val="13"/>
        </w:numPr>
        <w:tabs>
          <w:tab w:val="left" w:pos="0"/>
        </w:tabs>
        <w:rPr>
          <w:rFonts w:ascii="Calibri" w:hAnsi="Calibri"/>
        </w:rPr>
      </w:pPr>
      <w:r>
        <w:rPr>
          <w:rFonts w:ascii="Calibri" w:hAnsi="Calibri"/>
        </w:rPr>
        <w:t>Profil Requis : Expérience en Industries Agroalimentaires, Spécialiste en Sécurité Sanitaire ou Management de la Qualité Environnementale.</w:t>
      </w:r>
    </w:p>
    <w:p w:rsidR="00034A2A" w:rsidRDefault="001F2E10">
      <w:pPr>
        <w:pStyle w:val="Titre4"/>
        <w:keepNext w:val="0"/>
        <w:rPr>
          <w:rFonts w:ascii="Calibri" w:hAnsi="Calibri"/>
        </w:rPr>
      </w:pPr>
      <w:r>
        <w:rPr>
          <w:rFonts w:ascii="Calibri" w:hAnsi="Calibri"/>
        </w:rPr>
        <w:t>Fiche de Poste 4 : Responsable Formation, Vulgarisation et Capital Humain</w:t>
      </w:r>
    </w:p>
    <w:p w:rsidR="00034A2A" w:rsidRDefault="001F2E10">
      <w:pPr>
        <w:pStyle w:val="Corpsdetexte"/>
        <w:numPr>
          <w:ilvl w:val="0"/>
          <w:numId w:val="14"/>
        </w:numPr>
        <w:tabs>
          <w:tab w:val="left" w:pos="0"/>
        </w:tabs>
        <w:rPr>
          <w:rFonts w:ascii="Calibri" w:hAnsi="Calibri"/>
        </w:rPr>
      </w:pPr>
      <w:r>
        <w:rPr>
          <w:rFonts w:ascii="Calibri" w:hAnsi="Calibri"/>
        </w:rPr>
        <w:t>Mission Principale : Élever le n</w:t>
      </w:r>
      <w:r>
        <w:rPr>
          <w:rFonts w:ascii="Calibri" w:hAnsi="Calibri"/>
        </w:rPr>
        <w:t>iveau de qualification technique des producteurs et des transformateurs, et faciliter l'intégration des jeunes et des femmes au sein de la filière à travers l'économie sociale et solidaire.</w:t>
      </w:r>
    </w:p>
    <w:p w:rsidR="00034A2A" w:rsidRDefault="001F2E10">
      <w:pPr>
        <w:pStyle w:val="Corpsdetexte"/>
        <w:numPr>
          <w:ilvl w:val="0"/>
          <w:numId w:val="14"/>
        </w:numPr>
        <w:tabs>
          <w:tab w:val="left" w:pos="0"/>
        </w:tabs>
        <w:rPr>
          <w:rFonts w:ascii="Calibri" w:hAnsi="Calibri"/>
        </w:rPr>
      </w:pPr>
      <w:r>
        <w:rPr>
          <w:rFonts w:ascii="Calibri" w:hAnsi="Calibri"/>
        </w:rPr>
        <w:t>Responsabilités Clés :</w:t>
      </w:r>
    </w:p>
    <w:p w:rsidR="00034A2A" w:rsidRDefault="001F2E10">
      <w:pPr>
        <w:pStyle w:val="Corpsdetexte"/>
        <w:numPr>
          <w:ilvl w:val="1"/>
          <w:numId w:val="14"/>
        </w:numPr>
        <w:tabs>
          <w:tab w:val="left" w:pos="0"/>
        </w:tabs>
        <w:rPr>
          <w:rFonts w:ascii="Calibri" w:hAnsi="Calibri"/>
        </w:rPr>
      </w:pPr>
      <w:r>
        <w:rPr>
          <w:rFonts w:ascii="Calibri" w:hAnsi="Calibri"/>
        </w:rPr>
        <w:t>Recenser annuellement les besoins en compét</w:t>
      </w:r>
      <w:r>
        <w:rPr>
          <w:rFonts w:ascii="Calibri" w:hAnsi="Calibri"/>
        </w:rPr>
        <w:t>ences des coopératives et des industriels.</w:t>
      </w:r>
    </w:p>
    <w:p w:rsidR="00034A2A" w:rsidRDefault="001F2E10">
      <w:pPr>
        <w:pStyle w:val="Corpsdetexte"/>
        <w:numPr>
          <w:ilvl w:val="1"/>
          <w:numId w:val="14"/>
        </w:numPr>
        <w:tabs>
          <w:tab w:val="left" w:pos="0"/>
        </w:tabs>
        <w:rPr>
          <w:rFonts w:ascii="Calibri" w:hAnsi="Calibri"/>
        </w:rPr>
      </w:pPr>
      <w:r>
        <w:rPr>
          <w:rFonts w:ascii="Calibri" w:hAnsi="Calibri"/>
        </w:rPr>
        <w:t>Élaborer et exécuter les plans de formation (grafting sur indica major, distillation douce, gestion financière des coopératives).</w:t>
      </w:r>
    </w:p>
    <w:p w:rsidR="00034A2A" w:rsidRDefault="001F2E10">
      <w:pPr>
        <w:pStyle w:val="Corpsdetexte"/>
        <w:numPr>
          <w:ilvl w:val="1"/>
          <w:numId w:val="14"/>
        </w:numPr>
        <w:tabs>
          <w:tab w:val="left" w:pos="0"/>
        </w:tabs>
        <w:rPr>
          <w:rFonts w:ascii="Calibri" w:hAnsi="Calibri"/>
        </w:rPr>
      </w:pPr>
      <w:r>
        <w:rPr>
          <w:rFonts w:ascii="Calibri" w:hAnsi="Calibri"/>
        </w:rPr>
        <w:t>Animer des parcelles d'expérimentation agricole et des ateliers de vulgarisation su</w:t>
      </w:r>
      <w:r>
        <w:rPr>
          <w:rFonts w:ascii="Calibri" w:hAnsi="Calibri"/>
        </w:rPr>
        <w:t>r le terrain.</w:t>
      </w:r>
    </w:p>
    <w:p w:rsidR="00034A2A" w:rsidRDefault="001F2E10">
      <w:pPr>
        <w:pStyle w:val="Corpsdetexte"/>
        <w:numPr>
          <w:ilvl w:val="1"/>
          <w:numId w:val="14"/>
        </w:numPr>
        <w:tabs>
          <w:tab w:val="left" w:pos="0"/>
        </w:tabs>
        <w:rPr>
          <w:rFonts w:ascii="Calibri" w:hAnsi="Calibri"/>
        </w:rPr>
      </w:pPr>
      <w:r>
        <w:rPr>
          <w:rFonts w:ascii="Calibri" w:hAnsi="Calibri"/>
        </w:rPr>
        <w:t>Assurer le suivi de l'affiliation des agriculteurs au régime de protection sociale obligatoire (Loi 09-21).</w:t>
      </w:r>
    </w:p>
    <w:p w:rsidR="00034A2A" w:rsidRDefault="001F2E10">
      <w:pPr>
        <w:pStyle w:val="Corpsdetexte"/>
        <w:numPr>
          <w:ilvl w:val="0"/>
          <w:numId w:val="14"/>
        </w:numPr>
        <w:tabs>
          <w:tab w:val="left" w:pos="0"/>
        </w:tabs>
        <w:rPr>
          <w:rFonts w:ascii="Calibri" w:hAnsi="Calibri"/>
        </w:rPr>
      </w:pPr>
      <w:r>
        <w:rPr>
          <w:rFonts w:ascii="Calibri" w:hAnsi="Calibri"/>
        </w:rPr>
        <w:t>Profil Requis : Expérience en vulgarisation, Expert en ingénierie de formation ou en développement rural.</w:t>
      </w:r>
    </w:p>
    <w:p w:rsidR="00034A2A" w:rsidRDefault="001F2E10">
      <w:pPr>
        <w:pStyle w:val="Titre4"/>
        <w:keepNext w:val="0"/>
        <w:rPr>
          <w:rFonts w:ascii="Calibri" w:hAnsi="Calibri"/>
        </w:rPr>
      </w:pPr>
      <w:r>
        <w:rPr>
          <w:rFonts w:ascii="Calibri" w:hAnsi="Calibri"/>
        </w:rPr>
        <w:t>Fiche de Poste 5 : Responsab</w:t>
      </w:r>
      <w:r>
        <w:rPr>
          <w:rFonts w:ascii="Calibri" w:hAnsi="Calibri"/>
        </w:rPr>
        <w:t>le Marketing, Valorisation et Développement des Marchés</w:t>
      </w:r>
    </w:p>
    <w:p w:rsidR="00034A2A" w:rsidRDefault="001F2E10">
      <w:pPr>
        <w:pStyle w:val="Corpsdetexte"/>
        <w:numPr>
          <w:ilvl w:val="0"/>
          <w:numId w:val="15"/>
        </w:numPr>
        <w:tabs>
          <w:tab w:val="left" w:pos="0"/>
        </w:tabs>
        <w:rPr>
          <w:rFonts w:ascii="Calibri" w:hAnsi="Calibri"/>
        </w:rPr>
      </w:pPr>
      <w:r>
        <w:rPr>
          <w:rFonts w:ascii="Calibri" w:hAnsi="Calibri"/>
        </w:rPr>
        <w:t>Mission Principale : Maximiser la valeur ajoutée de la production marocaine sur les marchés nationaux et internationaux (parfumerie fine, cosmétique, pharmacie).</w:t>
      </w:r>
    </w:p>
    <w:p w:rsidR="00034A2A" w:rsidRDefault="001F2E10">
      <w:pPr>
        <w:pStyle w:val="Corpsdetexte"/>
        <w:numPr>
          <w:ilvl w:val="0"/>
          <w:numId w:val="15"/>
        </w:numPr>
        <w:tabs>
          <w:tab w:val="left" w:pos="0"/>
        </w:tabs>
        <w:rPr>
          <w:rFonts w:ascii="Calibri" w:hAnsi="Calibri"/>
        </w:rPr>
      </w:pPr>
      <w:r>
        <w:rPr>
          <w:rFonts w:ascii="Calibri" w:hAnsi="Calibri"/>
        </w:rPr>
        <w:t>Responsabilités Clés :</w:t>
      </w:r>
    </w:p>
    <w:p w:rsidR="00034A2A" w:rsidRDefault="001F2E10">
      <w:pPr>
        <w:pStyle w:val="Corpsdetexte"/>
        <w:numPr>
          <w:ilvl w:val="1"/>
          <w:numId w:val="15"/>
        </w:numPr>
        <w:tabs>
          <w:tab w:val="left" w:pos="0"/>
        </w:tabs>
        <w:rPr>
          <w:rFonts w:ascii="Calibri" w:hAnsi="Calibri"/>
        </w:rPr>
      </w:pPr>
      <w:r>
        <w:rPr>
          <w:rFonts w:ascii="Calibri" w:hAnsi="Calibri"/>
        </w:rPr>
        <w:t xml:space="preserve">Élaborer la </w:t>
      </w:r>
      <w:r>
        <w:rPr>
          <w:rFonts w:ascii="Calibri" w:hAnsi="Calibri"/>
        </w:rPr>
        <w:t>stratégie de marque de la Fédération et promouvoir le label "FIMAROSE".</w:t>
      </w:r>
    </w:p>
    <w:p w:rsidR="00034A2A" w:rsidRDefault="001F2E10">
      <w:pPr>
        <w:pStyle w:val="Corpsdetexte"/>
        <w:numPr>
          <w:ilvl w:val="1"/>
          <w:numId w:val="15"/>
        </w:numPr>
        <w:tabs>
          <w:tab w:val="left" w:pos="0"/>
        </w:tabs>
        <w:rPr>
          <w:rFonts w:ascii="Calibri" w:hAnsi="Calibri"/>
        </w:rPr>
      </w:pPr>
      <w:r>
        <w:rPr>
          <w:rFonts w:ascii="Calibri" w:hAnsi="Calibri"/>
        </w:rPr>
        <w:t>Organiser la participation marocaine aux salons professionnels internationaux (Emberiza, cosmétiques, cosmoprof, etc.) et coordonner le Festival National de la Rose.</w:t>
      </w:r>
    </w:p>
    <w:p w:rsidR="00034A2A" w:rsidRDefault="001F2E10">
      <w:pPr>
        <w:pStyle w:val="Corpsdetexte"/>
        <w:numPr>
          <w:ilvl w:val="1"/>
          <w:numId w:val="15"/>
        </w:numPr>
        <w:tabs>
          <w:tab w:val="left" w:pos="0"/>
        </w:tabs>
        <w:rPr>
          <w:rFonts w:ascii="Calibri" w:hAnsi="Calibri"/>
        </w:rPr>
      </w:pPr>
      <w:r>
        <w:rPr>
          <w:rFonts w:ascii="Calibri" w:hAnsi="Calibri"/>
        </w:rPr>
        <w:t>Mener des études d</w:t>
      </w:r>
      <w:r>
        <w:rPr>
          <w:rFonts w:ascii="Calibri" w:hAnsi="Calibri"/>
        </w:rPr>
        <w:t>e marché prospectives sur la demande mondiale en huile essentielle de Rosa damascena.</w:t>
      </w:r>
    </w:p>
    <w:p w:rsidR="00034A2A" w:rsidRDefault="001F2E10">
      <w:pPr>
        <w:pStyle w:val="Corpsdetexte"/>
        <w:numPr>
          <w:ilvl w:val="1"/>
          <w:numId w:val="15"/>
        </w:numPr>
        <w:tabs>
          <w:tab w:val="left" w:pos="0"/>
        </w:tabs>
        <w:rPr>
          <w:rFonts w:ascii="Calibri" w:hAnsi="Calibri"/>
        </w:rPr>
      </w:pPr>
      <w:r>
        <w:rPr>
          <w:rFonts w:ascii="Calibri" w:hAnsi="Calibri"/>
        </w:rPr>
        <w:t>Accompagner les petits groupements de producteurs dans le packaging et le marketing de leurs produits dérivés (eaux florales, crèmes, sérums).</w:t>
      </w:r>
    </w:p>
    <w:p w:rsidR="00034A2A" w:rsidRDefault="001F2E10">
      <w:pPr>
        <w:pStyle w:val="Corpsdetexte"/>
        <w:numPr>
          <w:ilvl w:val="0"/>
          <w:numId w:val="15"/>
        </w:numPr>
        <w:tabs>
          <w:tab w:val="left" w:pos="0"/>
        </w:tabs>
        <w:rPr>
          <w:rFonts w:ascii="Calibri" w:hAnsi="Calibri"/>
        </w:rPr>
      </w:pPr>
      <w:r>
        <w:rPr>
          <w:rFonts w:ascii="Calibri" w:hAnsi="Calibri"/>
        </w:rPr>
        <w:t xml:space="preserve">Profil Requis : Experience </w:t>
      </w:r>
      <w:r>
        <w:rPr>
          <w:rFonts w:ascii="Calibri" w:hAnsi="Calibri"/>
        </w:rPr>
        <w:t>en Marketing International, Commerce Extérieur ou Management de la Chaine de Valeur.</w:t>
      </w:r>
    </w:p>
    <w:p w:rsidR="00034A2A" w:rsidRDefault="001F2E10">
      <w:pPr>
        <w:pStyle w:val="Titre3"/>
        <w:keepNext w:val="0"/>
        <w:rPr>
          <w:rFonts w:ascii="Calibri" w:hAnsi="Calibri"/>
        </w:rPr>
      </w:pPr>
      <w:r>
        <w:rPr>
          <w:rFonts w:ascii="Calibri" w:hAnsi="Calibri"/>
        </w:rPr>
        <w:t>4. Indicateurs Clés de Performance Globaux (KPI) de la Filière</w:t>
      </w:r>
    </w:p>
    <w:p w:rsidR="00034A2A" w:rsidRDefault="001F2E10">
      <w:pPr>
        <w:pStyle w:val="Corpsdetexte"/>
        <w:rPr>
          <w:rFonts w:ascii="Calibri" w:hAnsi="Calibri"/>
        </w:rPr>
      </w:pPr>
      <w:r>
        <w:rPr>
          <w:rFonts w:ascii="Calibri" w:hAnsi="Calibri"/>
        </w:rPr>
        <w:t>Pour évaluer la réussite du déploiement stratégique, l’équipe technique s’appuie sur les objectifs cibles su</w:t>
      </w:r>
      <w:r>
        <w:rPr>
          <w:rFonts w:ascii="Calibri" w:hAnsi="Calibri"/>
        </w:rPr>
        <w:t>ivants :</w: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3208"/>
        <w:gridCol w:w="3210"/>
        <w:gridCol w:w="3210"/>
      </w:tblGrid>
      <w:tr w:rsidR="00034A2A">
        <w:tc>
          <w:tcPr>
            <w:tcW w:w="9638" w:type="dxa"/>
            <w:gridSpan w:val="3"/>
            <w:tcBorders>
              <w:top w:val="single" w:sz="4" w:space="0" w:color="000000"/>
              <w:left w:val="single" w:sz="4" w:space="0" w:color="000000"/>
              <w:bottom w:val="single" w:sz="4" w:space="0" w:color="000000"/>
              <w:right w:val="single" w:sz="4" w:space="0" w:color="000000"/>
            </w:tcBorders>
          </w:tcPr>
          <w:p w:rsidR="00034A2A" w:rsidRDefault="001F2E10">
            <w:pPr>
              <w:pStyle w:val="PreformattedText"/>
              <w:jc w:val="center"/>
            </w:pPr>
            <w:r>
              <w:rPr>
                <w:rStyle w:val="SourceText"/>
                <w:rFonts w:ascii="Calibri" w:hAnsi="Calibri"/>
                <w:sz w:val="24"/>
                <w:szCs w:val="24"/>
              </w:rPr>
              <w:t>Objectifs Cibles du Contrat-Programme FIMAROSE</w:t>
            </w:r>
          </w:p>
        </w:tc>
      </w:tr>
      <w:tr w:rsidR="00034A2A">
        <w:tc>
          <w:tcPr>
            <w:tcW w:w="3212" w:type="dxa"/>
            <w:tcBorders>
              <w:left w:val="single" w:sz="4" w:space="0" w:color="000000"/>
              <w:bottom w:val="single" w:sz="4" w:space="0" w:color="000000"/>
            </w:tcBorders>
          </w:tcPr>
          <w:p w:rsidR="00034A2A" w:rsidRDefault="001F2E10">
            <w:pPr>
              <w:pStyle w:val="PreformattedText"/>
            </w:pPr>
            <w:r>
              <w:rPr>
                <w:rStyle w:val="SourceText"/>
                <w:rFonts w:ascii="Calibri" w:hAnsi="Calibri"/>
                <w:sz w:val="24"/>
                <w:szCs w:val="24"/>
              </w:rPr>
              <w:t xml:space="preserve">Surface Cultivée             </w:t>
            </w:r>
          </w:p>
        </w:tc>
        <w:tc>
          <w:tcPr>
            <w:tcW w:w="3213" w:type="dxa"/>
            <w:tcBorders>
              <w:left w:val="single" w:sz="4" w:space="0" w:color="000000"/>
              <w:bottom w:val="single" w:sz="4" w:space="0" w:color="000000"/>
            </w:tcBorders>
          </w:tcPr>
          <w:p w:rsidR="00034A2A" w:rsidRDefault="001F2E10">
            <w:pPr>
              <w:pStyle w:val="PreformattedText"/>
            </w:pPr>
            <w:r>
              <w:rPr>
                <w:rStyle w:val="SourceText"/>
                <w:rFonts w:ascii="Calibri" w:hAnsi="Calibri"/>
                <w:sz w:val="24"/>
                <w:szCs w:val="24"/>
              </w:rPr>
              <w:t xml:space="preserve">Production de Fleurs </w:t>
            </w:r>
          </w:p>
        </w:tc>
        <w:tc>
          <w:tcPr>
            <w:tcW w:w="3213" w:type="dxa"/>
            <w:tcBorders>
              <w:left w:val="single" w:sz="4" w:space="0" w:color="000000"/>
              <w:bottom w:val="single" w:sz="4" w:space="0" w:color="000000"/>
              <w:right w:val="single" w:sz="4" w:space="0" w:color="000000"/>
            </w:tcBorders>
          </w:tcPr>
          <w:p w:rsidR="00034A2A" w:rsidRDefault="001F2E10">
            <w:pPr>
              <w:pStyle w:val="PreformattedText"/>
            </w:pPr>
            <w:r>
              <w:rPr>
                <w:rStyle w:val="SourceText"/>
                <w:rFonts w:ascii="Calibri" w:hAnsi="Calibri"/>
                <w:sz w:val="24"/>
                <w:szCs w:val="24"/>
              </w:rPr>
              <w:t>Taux de Valorisation</w:t>
            </w:r>
          </w:p>
        </w:tc>
      </w:tr>
      <w:tr w:rsidR="00034A2A">
        <w:tc>
          <w:tcPr>
            <w:tcW w:w="3212" w:type="dxa"/>
            <w:tcBorders>
              <w:left w:val="single" w:sz="4" w:space="0" w:color="000000"/>
              <w:bottom w:val="single" w:sz="4" w:space="0" w:color="000000"/>
            </w:tcBorders>
          </w:tcPr>
          <w:p w:rsidR="00034A2A" w:rsidRDefault="001F2E10">
            <w:pPr>
              <w:pStyle w:val="PreformattedText"/>
            </w:pPr>
            <w:r>
              <w:rPr>
                <w:rStyle w:val="SourceText"/>
                <w:rFonts w:ascii="Calibri" w:hAnsi="Calibri"/>
                <w:sz w:val="24"/>
                <w:szCs w:val="24"/>
              </w:rPr>
              <w:t>1 200 Hec.</w:t>
            </w:r>
          </w:p>
        </w:tc>
        <w:tc>
          <w:tcPr>
            <w:tcW w:w="3213" w:type="dxa"/>
            <w:tcBorders>
              <w:left w:val="single" w:sz="4" w:space="0" w:color="000000"/>
              <w:bottom w:val="single" w:sz="4" w:space="0" w:color="000000"/>
            </w:tcBorders>
          </w:tcPr>
          <w:p w:rsidR="00034A2A" w:rsidRDefault="001F2E10">
            <w:pPr>
              <w:pStyle w:val="PreformattedText"/>
            </w:pPr>
            <w:r>
              <w:rPr>
                <w:rStyle w:val="SourceText"/>
                <w:rFonts w:ascii="Calibri" w:hAnsi="Calibri"/>
                <w:sz w:val="24"/>
                <w:szCs w:val="24"/>
              </w:rPr>
              <w:t>6 000 Tonnes</w:t>
            </w:r>
          </w:p>
        </w:tc>
        <w:tc>
          <w:tcPr>
            <w:tcW w:w="3213" w:type="dxa"/>
            <w:tcBorders>
              <w:left w:val="single" w:sz="4" w:space="0" w:color="000000"/>
              <w:bottom w:val="single" w:sz="4" w:space="0" w:color="000000"/>
              <w:right w:val="single" w:sz="4" w:space="0" w:color="000000"/>
            </w:tcBorders>
          </w:tcPr>
          <w:p w:rsidR="00034A2A" w:rsidRDefault="001F2E10">
            <w:pPr>
              <w:pStyle w:val="PreformattedText"/>
            </w:pPr>
            <w:r>
              <w:rPr>
                <w:rStyle w:val="SourceText"/>
                <w:rFonts w:ascii="Calibri" w:hAnsi="Calibri"/>
                <w:sz w:val="24"/>
                <w:szCs w:val="24"/>
              </w:rPr>
              <w:t>70 %</w:t>
            </w:r>
          </w:p>
        </w:tc>
      </w:tr>
      <w:tr w:rsidR="00034A2A">
        <w:tc>
          <w:tcPr>
            <w:tcW w:w="3212" w:type="dxa"/>
            <w:tcBorders>
              <w:left w:val="single" w:sz="4" w:space="0" w:color="000000"/>
              <w:bottom w:val="single" w:sz="4" w:space="0" w:color="000000"/>
            </w:tcBorders>
          </w:tcPr>
          <w:p w:rsidR="00034A2A" w:rsidRDefault="00034A2A">
            <w:pPr>
              <w:pStyle w:val="TableContents"/>
              <w:rPr>
                <w:rFonts w:ascii="Calibri" w:hAnsi="Calibri"/>
              </w:rPr>
            </w:pPr>
          </w:p>
        </w:tc>
        <w:tc>
          <w:tcPr>
            <w:tcW w:w="3213" w:type="dxa"/>
            <w:tcBorders>
              <w:left w:val="single" w:sz="4" w:space="0" w:color="000000"/>
              <w:bottom w:val="single" w:sz="4" w:space="0" w:color="000000"/>
            </w:tcBorders>
          </w:tcPr>
          <w:p w:rsidR="00034A2A" w:rsidRDefault="00034A2A">
            <w:pPr>
              <w:pStyle w:val="TableContents"/>
              <w:rPr>
                <w:rFonts w:ascii="Calibri" w:hAnsi="Calibri"/>
              </w:rPr>
            </w:pPr>
          </w:p>
        </w:tc>
        <w:tc>
          <w:tcPr>
            <w:tcW w:w="3213" w:type="dxa"/>
            <w:tcBorders>
              <w:left w:val="single" w:sz="4" w:space="0" w:color="000000"/>
              <w:bottom w:val="single" w:sz="4" w:space="0" w:color="000000"/>
              <w:right w:val="single" w:sz="4" w:space="0" w:color="000000"/>
            </w:tcBorders>
          </w:tcPr>
          <w:p w:rsidR="00034A2A" w:rsidRDefault="00034A2A">
            <w:pPr>
              <w:pStyle w:val="TableContents"/>
              <w:rPr>
                <w:rFonts w:ascii="Calibri" w:hAnsi="Calibri"/>
              </w:rPr>
            </w:pPr>
          </w:p>
        </w:tc>
      </w:tr>
      <w:tr w:rsidR="00034A2A">
        <w:tc>
          <w:tcPr>
            <w:tcW w:w="9638" w:type="dxa"/>
            <w:gridSpan w:val="3"/>
            <w:tcBorders>
              <w:left w:val="single" w:sz="4" w:space="0" w:color="000000"/>
              <w:bottom w:val="single" w:sz="4" w:space="0" w:color="000000"/>
              <w:right w:val="single" w:sz="4" w:space="0" w:color="000000"/>
            </w:tcBorders>
          </w:tcPr>
          <w:p w:rsidR="00034A2A" w:rsidRDefault="001F2E10">
            <w:pPr>
              <w:pStyle w:val="TableContents"/>
              <w:jc w:val="center"/>
            </w:pPr>
            <w:r>
              <w:rPr>
                <w:rStyle w:val="SourceText"/>
                <w:rFonts w:ascii="Calibri" w:hAnsi="Calibri"/>
              </w:rPr>
              <w:t>Taux d'Extraction Industrielle / Transformation : 56%</w:t>
            </w:r>
          </w:p>
          <w:p w:rsidR="00034A2A" w:rsidRDefault="001F2E10">
            <w:pPr>
              <w:pStyle w:val="PreformattedText"/>
              <w:jc w:val="center"/>
            </w:pPr>
            <w:r>
              <w:rPr>
                <w:rStyle w:val="SourceText"/>
                <w:rFonts w:ascii="Calibri" w:hAnsi="Calibri"/>
                <w:sz w:val="24"/>
                <w:szCs w:val="24"/>
              </w:rPr>
              <w:t xml:space="preserve">Volumes Dédiés à l'Exportation : 150 </w:t>
            </w:r>
            <w:r>
              <w:rPr>
                <w:rStyle w:val="SourceText"/>
                <w:rFonts w:ascii="Calibri" w:hAnsi="Calibri"/>
                <w:sz w:val="24"/>
                <w:szCs w:val="24"/>
              </w:rPr>
              <w:t>Tonnes</w:t>
            </w:r>
          </w:p>
        </w:tc>
      </w:tr>
    </w:tbl>
    <w:p w:rsidR="00034A2A" w:rsidRDefault="00034A2A">
      <w:pPr>
        <w:pStyle w:val="PreformattedText"/>
        <w:spacing w:after="283"/>
        <w:rPr>
          <w:rStyle w:val="SourceText"/>
          <w:rFonts w:ascii="Calibri" w:hAnsi="Calibri"/>
        </w:rPr>
      </w:pPr>
    </w:p>
    <w:p w:rsidR="00034A2A" w:rsidRDefault="00034A2A">
      <w:pPr>
        <w:pStyle w:val="Titre1"/>
        <w:keepNext w:val="0"/>
        <w:rPr>
          <w:rFonts w:ascii="Calibri" w:hAnsi="Calibri"/>
          <w:sz w:val="28"/>
          <w:szCs w:val="28"/>
        </w:rPr>
      </w:pPr>
    </w:p>
    <w:p w:rsidR="00034A2A" w:rsidRDefault="00034A2A">
      <w:pPr>
        <w:pStyle w:val="Titre1"/>
        <w:rPr>
          <w:rFonts w:ascii="Calibri" w:hAnsi="Calibri"/>
          <w:sz w:val="28"/>
          <w:szCs w:val="28"/>
        </w:rPr>
      </w:pPr>
    </w:p>
    <w:p w:rsidR="00034A2A" w:rsidRDefault="001F2E10">
      <w:pPr>
        <w:pStyle w:val="Titre1"/>
        <w:rPr>
          <w:rFonts w:ascii="Calibri" w:hAnsi="Calibri"/>
          <w:sz w:val="28"/>
          <w:szCs w:val="28"/>
        </w:rPr>
      </w:pPr>
      <w:r>
        <w:rPr>
          <w:rFonts w:ascii="Calibri" w:hAnsi="Calibri"/>
          <w:sz w:val="28"/>
          <w:szCs w:val="28"/>
        </w:rPr>
        <w:t>PARTIE IV : GRILLE DES INFRACTIONS ET SANCTIONS DISCIPLINAIRES</w:t>
      </w:r>
    </w:p>
    <w:p w:rsidR="00034A2A" w:rsidRDefault="001F2E10">
      <w:pPr>
        <w:pStyle w:val="Corpsdetexte"/>
        <w:rPr>
          <w:rFonts w:ascii="Calibri" w:hAnsi="Calibri"/>
        </w:rPr>
      </w:pPr>
      <w:r>
        <w:rPr>
          <w:rFonts w:ascii="Calibri" w:hAnsi="Calibri"/>
        </w:rPr>
        <w:t xml:space="preserve">Toute violation des statuts, du règlement de gouvernance ou des fiches de procédures expose son auteur aux sanctions ci-dessous, prononcées par le Conseil d'Administration sur </w:t>
      </w:r>
      <w:r>
        <w:rPr>
          <w:rFonts w:ascii="Calibri" w:hAnsi="Calibri"/>
        </w:rPr>
        <w:t>rapport de la Commission Éthique.</w:t>
      </w:r>
    </w:p>
    <w:p w:rsidR="00034A2A" w:rsidRDefault="001F2E10">
      <w:pPr>
        <w:pStyle w:val="Titre3"/>
        <w:rPr>
          <w:rFonts w:ascii="Calibri" w:hAnsi="Calibri"/>
        </w:rPr>
      </w:pPr>
      <w:r>
        <w:rPr>
          <w:rFonts w:ascii="Calibri" w:hAnsi="Calibri"/>
        </w:rPr>
        <w:t>Tableau Détaillé du Barème Disciplinaire</w:t>
      </w:r>
    </w:p>
    <w:tbl>
      <w:tblPr>
        <w:tblW w:w="10252" w:type="dxa"/>
        <w:tblInd w:w="-274" w:type="dxa"/>
        <w:tblLayout w:type="fixed"/>
        <w:tblCellMar>
          <w:top w:w="91" w:type="dxa"/>
          <w:left w:w="136" w:type="dxa"/>
          <w:bottom w:w="91" w:type="dxa"/>
          <w:right w:w="136" w:type="dxa"/>
        </w:tblCellMar>
        <w:tblLook w:val="04A0" w:firstRow="1" w:lastRow="0" w:firstColumn="1" w:lastColumn="0" w:noHBand="0" w:noVBand="1"/>
      </w:tblPr>
      <w:tblGrid>
        <w:gridCol w:w="1474"/>
        <w:gridCol w:w="2993"/>
        <w:gridCol w:w="1134"/>
        <w:gridCol w:w="1588"/>
        <w:gridCol w:w="3063"/>
      </w:tblGrid>
      <w:tr w:rsidR="00034A2A">
        <w:trPr>
          <w:tblHeader/>
        </w:trPr>
        <w:tc>
          <w:tcPr>
            <w:tcW w:w="147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rPr>
                <w:rStyle w:val="lev"/>
                <w:rFonts w:ascii="Calibri" w:hAnsi="Calibri"/>
              </w:rPr>
              <w:t>Code Infraction</w:t>
            </w:r>
          </w:p>
        </w:tc>
        <w:tc>
          <w:tcPr>
            <w:tcW w:w="299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rPr>
                <w:rStyle w:val="lev"/>
                <w:rFonts w:ascii="Calibri" w:hAnsi="Calibri"/>
              </w:rPr>
              <w:t>Nature de la Non-Conformité</w:t>
            </w:r>
          </w:p>
        </w:tc>
        <w:tc>
          <w:tcPr>
            <w:tcW w:w="113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rPr>
                <w:rStyle w:val="lev"/>
                <w:rFonts w:ascii="Calibri" w:hAnsi="Calibri"/>
              </w:rPr>
              <w:t>Degré de Gravité</w:t>
            </w:r>
          </w:p>
        </w:tc>
        <w:tc>
          <w:tcPr>
            <w:tcW w:w="158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rPr>
                <w:rStyle w:val="lev"/>
                <w:rFonts w:ascii="Calibri" w:hAnsi="Calibri"/>
              </w:rPr>
              <w:t>Récidive Éventuelle (Graduation)</w:t>
            </w:r>
          </w:p>
        </w:tc>
        <w:tc>
          <w:tcPr>
            <w:tcW w:w="306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rPr>
                <w:rStyle w:val="lev"/>
                <w:rFonts w:ascii="Calibri" w:hAnsi="Calibri"/>
              </w:rPr>
              <w:t>Sanction Applicable &amp; Mesure Conservatoire</w:t>
            </w:r>
          </w:p>
        </w:tc>
      </w:tr>
      <w:tr w:rsidR="00034A2A">
        <w:tc>
          <w:tcPr>
            <w:tcW w:w="147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INF-101</w:t>
            </w:r>
          </w:p>
        </w:tc>
        <w:tc>
          <w:tcPr>
            <w:tcW w:w="299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Absence non justifiée aux instances</w:t>
            </w:r>
            <w:r>
              <w:rPr>
                <w:rFonts w:ascii="Calibri" w:hAnsi="Calibri"/>
              </w:rPr>
              <w:t xml:space="preserve"> officielles (AG, CA)</w:t>
            </w:r>
          </w:p>
        </w:tc>
        <w:tc>
          <w:tcPr>
            <w:tcW w:w="113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Mineure</w:t>
            </w:r>
          </w:p>
        </w:tc>
        <w:tc>
          <w:tcPr>
            <w:tcW w:w="158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spacing w:after="283"/>
              <w:rPr>
                <w:rFonts w:ascii="Calibri" w:hAnsi="Calibri"/>
              </w:rPr>
            </w:pPr>
            <w:r>
              <w:rPr>
                <w:rFonts w:ascii="Calibri" w:hAnsi="Calibri"/>
              </w:rPr>
              <w:t>1ère omission</w:t>
            </w:r>
          </w:p>
          <w:p w:rsidR="00034A2A" w:rsidRDefault="001F2E10">
            <w:pPr>
              <w:pStyle w:val="TableContents"/>
              <w:spacing w:after="283"/>
              <w:rPr>
                <w:rFonts w:ascii="Calibri" w:hAnsi="Calibri"/>
              </w:rPr>
            </w:pPr>
            <w:r>
              <w:rPr>
                <w:rFonts w:ascii="Calibri" w:hAnsi="Calibri"/>
              </w:rPr>
              <w:t>2ème omission</w:t>
            </w:r>
          </w:p>
          <w:p w:rsidR="00034A2A" w:rsidRDefault="001F2E10">
            <w:pPr>
              <w:pStyle w:val="TableContents"/>
              <w:spacing w:after="283"/>
              <w:rPr>
                <w:rFonts w:ascii="Calibri" w:hAnsi="Calibri"/>
              </w:rPr>
            </w:pPr>
            <w:r>
              <w:rPr>
                <w:rFonts w:ascii="Calibri" w:hAnsi="Calibri"/>
              </w:rPr>
              <w:t>3ème omission</w:t>
            </w:r>
          </w:p>
        </w:tc>
        <w:tc>
          <w:tcPr>
            <w:tcW w:w="306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spacing w:after="283"/>
              <w:rPr>
                <w:rFonts w:ascii="Calibri" w:hAnsi="Calibri"/>
              </w:rPr>
            </w:pPr>
            <w:r>
              <w:rPr>
                <w:rFonts w:ascii="Calibri" w:hAnsi="Calibri"/>
              </w:rPr>
              <w:t>Avertissement écrit solennel.</w:t>
            </w:r>
          </w:p>
          <w:p w:rsidR="00034A2A" w:rsidRDefault="001F2E10">
            <w:pPr>
              <w:pStyle w:val="TableContents"/>
              <w:spacing w:after="283"/>
              <w:rPr>
                <w:rFonts w:ascii="Calibri" w:hAnsi="Calibri"/>
              </w:rPr>
            </w:pPr>
            <w:r>
              <w:rPr>
                <w:rFonts w:ascii="Calibri" w:hAnsi="Calibri"/>
              </w:rPr>
              <w:t>Amende financière forfaitaire de 1 000 MAD.</w:t>
            </w:r>
          </w:p>
          <w:p w:rsidR="00034A2A" w:rsidRDefault="001F2E10">
            <w:pPr>
              <w:pStyle w:val="TableContents"/>
              <w:spacing w:after="283"/>
              <w:rPr>
                <w:rFonts w:ascii="Calibri" w:hAnsi="Calibri"/>
              </w:rPr>
            </w:pPr>
            <w:r>
              <w:rPr>
                <w:rFonts w:ascii="Calibri" w:hAnsi="Calibri"/>
              </w:rPr>
              <w:t>Suspension de la qualité de membre pour 3 mois.</w:t>
            </w:r>
          </w:p>
        </w:tc>
      </w:tr>
      <w:tr w:rsidR="00034A2A">
        <w:tc>
          <w:tcPr>
            <w:tcW w:w="147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INF-102</w:t>
            </w:r>
          </w:p>
        </w:tc>
        <w:tc>
          <w:tcPr>
            <w:tcW w:w="299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Défaut de dépôt des rapports d'activités ou rétention</w:t>
            </w:r>
            <w:r>
              <w:rPr>
                <w:rFonts w:ascii="Calibri" w:hAnsi="Calibri"/>
              </w:rPr>
              <w:t xml:space="preserve"> de documents obligatoires</w:t>
            </w:r>
          </w:p>
        </w:tc>
        <w:tc>
          <w:tcPr>
            <w:tcW w:w="113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Mineure</w:t>
            </w:r>
          </w:p>
        </w:tc>
        <w:tc>
          <w:tcPr>
            <w:tcW w:w="158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spacing w:after="283"/>
              <w:rPr>
                <w:rFonts w:ascii="Calibri" w:hAnsi="Calibri"/>
              </w:rPr>
            </w:pPr>
            <w:r>
              <w:rPr>
                <w:rFonts w:ascii="Calibri" w:hAnsi="Calibri"/>
              </w:rPr>
              <w:t>1ère omission</w:t>
            </w:r>
          </w:p>
          <w:p w:rsidR="00034A2A" w:rsidRDefault="001F2E10">
            <w:pPr>
              <w:pStyle w:val="TableContents"/>
              <w:spacing w:after="283"/>
              <w:rPr>
                <w:rFonts w:ascii="Calibri" w:hAnsi="Calibri"/>
              </w:rPr>
            </w:pPr>
            <w:r>
              <w:rPr>
                <w:rFonts w:ascii="Calibri" w:hAnsi="Calibri"/>
              </w:rPr>
              <w:t>2ème omission</w:t>
            </w:r>
          </w:p>
          <w:p w:rsidR="00034A2A" w:rsidRDefault="001F2E10">
            <w:pPr>
              <w:pStyle w:val="TableContents"/>
              <w:spacing w:after="283"/>
              <w:rPr>
                <w:rFonts w:ascii="Calibri" w:hAnsi="Calibri"/>
              </w:rPr>
            </w:pPr>
            <w:r>
              <w:rPr>
                <w:rFonts w:ascii="Calibri" w:hAnsi="Calibri"/>
              </w:rPr>
              <w:t>3ème omission</w:t>
            </w:r>
          </w:p>
        </w:tc>
        <w:tc>
          <w:tcPr>
            <w:tcW w:w="306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spacing w:after="283"/>
              <w:rPr>
                <w:rFonts w:ascii="Calibri" w:hAnsi="Calibri"/>
              </w:rPr>
            </w:pPr>
            <w:r>
              <w:rPr>
                <w:rFonts w:ascii="Calibri" w:hAnsi="Calibri"/>
              </w:rPr>
              <w:t>Avertissement écrit avec sommation sous 8 jours.</w:t>
            </w:r>
          </w:p>
          <w:p w:rsidR="00034A2A" w:rsidRDefault="001F2E10">
            <w:pPr>
              <w:pStyle w:val="TableContents"/>
              <w:spacing w:after="283"/>
              <w:rPr>
                <w:rFonts w:ascii="Calibri" w:hAnsi="Calibri"/>
              </w:rPr>
            </w:pPr>
            <w:r>
              <w:rPr>
                <w:rFonts w:ascii="Calibri" w:hAnsi="Calibri"/>
              </w:rPr>
              <w:t>Amende financière forfaitaire de 2 000 MAD.</w:t>
            </w:r>
          </w:p>
          <w:p w:rsidR="00034A2A" w:rsidRDefault="001F2E10">
            <w:pPr>
              <w:pStyle w:val="TableContents"/>
              <w:spacing w:after="283"/>
              <w:rPr>
                <w:rFonts w:ascii="Calibri" w:hAnsi="Calibri"/>
              </w:rPr>
            </w:pPr>
            <w:r>
              <w:rPr>
                <w:rFonts w:ascii="Calibri" w:hAnsi="Calibri"/>
              </w:rPr>
              <w:t>Suspension immédiate de l'accès aux services de la FIMAROSE.</w:t>
            </w:r>
          </w:p>
        </w:tc>
      </w:tr>
      <w:tr w:rsidR="00034A2A">
        <w:tc>
          <w:tcPr>
            <w:tcW w:w="147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INF-201</w:t>
            </w:r>
          </w:p>
        </w:tc>
        <w:tc>
          <w:tcPr>
            <w:tcW w:w="299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 xml:space="preserve">Non-déclaration </w:t>
            </w:r>
            <w:r>
              <w:rPr>
                <w:rFonts w:ascii="Calibri" w:hAnsi="Calibri"/>
              </w:rPr>
              <w:t>volontaire des volumes réels de production (fraude statistique)</w:t>
            </w:r>
          </w:p>
        </w:tc>
        <w:tc>
          <w:tcPr>
            <w:tcW w:w="113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Majeure</w:t>
            </w:r>
          </w:p>
        </w:tc>
        <w:tc>
          <w:tcPr>
            <w:tcW w:w="158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Dès la 1ère constatation</w:t>
            </w:r>
          </w:p>
        </w:tc>
        <w:tc>
          <w:tcPr>
            <w:tcW w:w="306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Amende de 3 000 MAD + audit contradictoire obligatoire aux frais de l’adhérent.</w:t>
            </w:r>
          </w:p>
        </w:tc>
      </w:tr>
      <w:tr w:rsidR="00034A2A">
        <w:tc>
          <w:tcPr>
            <w:tcW w:w="147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INF-202</w:t>
            </w:r>
          </w:p>
        </w:tc>
        <w:tc>
          <w:tcPr>
            <w:tcW w:w="299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 xml:space="preserve">Déclaration frauduleuse ou falsification délibérée des rendements de </w:t>
            </w:r>
            <w:r>
              <w:rPr>
                <w:rFonts w:ascii="Calibri" w:hAnsi="Calibri"/>
              </w:rPr>
              <w:t>la rose</w:t>
            </w:r>
          </w:p>
        </w:tc>
        <w:tc>
          <w:tcPr>
            <w:tcW w:w="113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Majeure</w:t>
            </w:r>
          </w:p>
        </w:tc>
        <w:tc>
          <w:tcPr>
            <w:tcW w:w="158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Dès la 1ère constatation</w:t>
            </w:r>
          </w:p>
        </w:tc>
        <w:tc>
          <w:tcPr>
            <w:tcW w:w="306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Amende administrative de 5 000 MAD + mise sous surveillance technique de l'organisation.</w:t>
            </w:r>
          </w:p>
        </w:tc>
      </w:tr>
      <w:tr w:rsidR="00034A2A">
        <w:tc>
          <w:tcPr>
            <w:tcW w:w="147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INF-203</w:t>
            </w:r>
          </w:p>
        </w:tc>
        <w:tc>
          <w:tcPr>
            <w:tcW w:w="299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Dissimulation volontaire de données stratégiques sectorielles</w:t>
            </w:r>
          </w:p>
        </w:tc>
        <w:tc>
          <w:tcPr>
            <w:tcW w:w="113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Majeure</w:t>
            </w:r>
          </w:p>
        </w:tc>
        <w:tc>
          <w:tcPr>
            <w:tcW w:w="158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Dès la 1ère constatation</w:t>
            </w:r>
          </w:p>
        </w:tc>
        <w:tc>
          <w:tcPr>
            <w:tcW w:w="306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Suspension ferme de la</w:t>
            </w:r>
            <w:r>
              <w:rPr>
                <w:rFonts w:ascii="Calibri" w:hAnsi="Calibri"/>
              </w:rPr>
              <w:t xml:space="preserve"> qualité de membre pour une durée de 6 mois.</w:t>
            </w:r>
          </w:p>
        </w:tc>
      </w:tr>
      <w:tr w:rsidR="00034A2A">
        <w:tc>
          <w:tcPr>
            <w:tcW w:w="147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INF-301</w:t>
            </w:r>
          </w:p>
        </w:tc>
        <w:tc>
          <w:tcPr>
            <w:tcW w:w="299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Non-respect avéré des cahiers des charges sanitaires et phytosanitaires de l’ONSSA</w:t>
            </w:r>
          </w:p>
        </w:tc>
        <w:tc>
          <w:tcPr>
            <w:tcW w:w="113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Critique</w:t>
            </w:r>
          </w:p>
        </w:tc>
        <w:tc>
          <w:tcPr>
            <w:tcW w:w="158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spacing w:after="283"/>
              <w:rPr>
                <w:rFonts w:ascii="Calibri" w:hAnsi="Calibri"/>
              </w:rPr>
            </w:pPr>
            <w:r>
              <w:rPr>
                <w:rFonts w:ascii="Calibri" w:hAnsi="Calibri"/>
              </w:rPr>
              <w:t>1ère infraction</w:t>
            </w:r>
          </w:p>
          <w:p w:rsidR="00034A2A" w:rsidRDefault="001F2E10">
            <w:pPr>
              <w:pStyle w:val="TableContents"/>
              <w:spacing w:after="283"/>
              <w:rPr>
                <w:rFonts w:ascii="Calibri" w:hAnsi="Calibri"/>
              </w:rPr>
            </w:pPr>
            <w:r>
              <w:rPr>
                <w:rFonts w:ascii="Calibri" w:hAnsi="Calibri"/>
              </w:rPr>
              <w:t>Récidive</w:t>
            </w:r>
          </w:p>
        </w:tc>
        <w:tc>
          <w:tcPr>
            <w:tcW w:w="306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spacing w:after="283"/>
              <w:rPr>
                <w:rFonts w:ascii="Calibri" w:hAnsi="Calibri"/>
              </w:rPr>
            </w:pPr>
            <w:r>
              <w:rPr>
                <w:rFonts w:ascii="Calibri" w:hAnsi="Calibri"/>
              </w:rPr>
              <w:t>Notification d’écart + obligation de mise en conformité sous 15 jours.</w:t>
            </w:r>
          </w:p>
          <w:p w:rsidR="00034A2A" w:rsidRDefault="001F2E10">
            <w:pPr>
              <w:pStyle w:val="TableContents"/>
              <w:spacing w:after="283"/>
              <w:rPr>
                <w:rFonts w:ascii="Calibri" w:hAnsi="Calibri"/>
              </w:rPr>
            </w:pPr>
            <w:r>
              <w:rPr>
                <w:rFonts w:ascii="Calibri" w:hAnsi="Calibri"/>
              </w:rPr>
              <w:t xml:space="preserve">Amende de 5 </w:t>
            </w:r>
            <w:r>
              <w:rPr>
                <w:rFonts w:ascii="Calibri" w:hAnsi="Calibri"/>
              </w:rPr>
              <w:t>000 MAD + saisie du lot défectueux.</w:t>
            </w:r>
          </w:p>
        </w:tc>
      </w:tr>
      <w:tr w:rsidR="00034A2A">
        <w:tc>
          <w:tcPr>
            <w:tcW w:w="147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INF-302</w:t>
            </w:r>
          </w:p>
        </w:tc>
        <w:tc>
          <w:tcPr>
            <w:tcW w:w="299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Mise sur le marché d'un produit non conforme ou altéré (fraude sur la qualité)</w:t>
            </w:r>
          </w:p>
        </w:tc>
        <w:tc>
          <w:tcPr>
            <w:tcW w:w="113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Critique</w:t>
            </w:r>
          </w:p>
        </w:tc>
        <w:tc>
          <w:tcPr>
            <w:tcW w:w="158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Dès la 1ère constatation</w:t>
            </w:r>
          </w:p>
        </w:tc>
        <w:tc>
          <w:tcPr>
            <w:tcW w:w="306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Retrait immédiat des produits des circuits de vente + suspension de la licence d’usage de l’IGP.</w:t>
            </w:r>
          </w:p>
        </w:tc>
      </w:tr>
      <w:tr w:rsidR="00034A2A">
        <w:tc>
          <w:tcPr>
            <w:tcW w:w="147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INF-303</w:t>
            </w:r>
          </w:p>
        </w:tc>
        <w:tc>
          <w:tcPr>
            <w:tcW w:w="299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Comportement mettant en péril direct la sécurité sanitaire publique ou l'environnement</w:t>
            </w:r>
          </w:p>
        </w:tc>
        <w:tc>
          <w:tcPr>
            <w:tcW w:w="113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Critique</w:t>
            </w:r>
          </w:p>
        </w:tc>
        <w:tc>
          <w:tcPr>
            <w:tcW w:w="158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Dès la 1ère constatation</w:t>
            </w:r>
          </w:p>
        </w:tc>
        <w:tc>
          <w:tcPr>
            <w:tcW w:w="306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Exclusion définitive de la FIMAROSE + transmission immédiate du dossier au Procureur du Roi et à l'ONSSA.</w:t>
            </w:r>
          </w:p>
        </w:tc>
      </w:tr>
      <w:tr w:rsidR="00034A2A">
        <w:tc>
          <w:tcPr>
            <w:tcW w:w="147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INF-401</w:t>
            </w:r>
          </w:p>
        </w:tc>
        <w:tc>
          <w:tcPr>
            <w:tcW w:w="299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 xml:space="preserve">Vente de la </w:t>
            </w:r>
            <w:r>
              <w:rPr>
                <w:rFonts w:ascii="Calibri" w:hAnsi="Calibri"/>
              </w:rPr>
              <w:t>fleur de rose en dehors des circuits de commercialisation officiels agréés</w:t>
            </w:r>
          </w:p>
        </w:tc>
        <w:tc>
          <w:tcPr>
            <w:tcW w:w="113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Majeure</w:t>
            </w:r>
          </w:p>
        </w:tc>
        <w:tc>
          <w:tcPr>
            <w:tcW w:w="158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Dès la 1ère constatation</w:t>
            </w:r>
          </w:p>
        </w:tc>
        <w:tc>
          <w:tcPr>
            <w:tcW w:w="306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Amende forfaitaire de 3 000 MAD par infraction constatée.</w:t>
            </w:r>
          </w:p>
        </w:tc>
      </w:tr>
      <w:tr w:rsidR="00034A2A">
        <w:tc>
          <w:tcPr>
            <w:tcW w:w="147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INF-402</w:t>
            </w:r>
          </w:p>
        </w:tc>
        <w:tc>
          <w:tcPr>
            <w:tcW w:w="299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 xml:space="preserve">Transactions ou complicité commerciale avec des opérateurs du secteur informel </w:t>
            </w:r>
            <w:r>
              <w:rPr>
                <w:rFonts w:ascii="Calibri" w:hAnsi="Calibri"/>
              </w:rPr>
              <w:t>non identifiés</w:t>
            </w:r>
          </w:p>
        </w:tc>
        <w:tc>
          <w:tcPr>
            <w:tcW w:w="113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Majeure</w:t>
            </w:r>
          </w:p>
        </w:tc>
        <w:tc>
          <w:tcPr>
            <w:tcW w:w="158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Dès la 1ère constatation</w:t>
            </w:r>
          </w:p>
        </w:tc>
        <w:tc>
          <w:tcPr>
            <w:tcW w:w="306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Amende forfaitaire de 5 000 MAD + privation des subventions pendant 1 an.</w:t>
            </w:r>
          </w:p>
        </w:tc>
      </w:tr>
      <w:tr w:rsidR="00034A2A">
        <w:tc>
          <w:tcPr>
            <w:tcW w:w="147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INF-403</w:t>
            </w:r>
          </w:p>
        </w:tc>
        <w:tc>
          <w:tcPr>
            <w:tcW w:w="299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Exportation de produits dérivés de la rose sans déclaration d'expédition préalable à la Fédération</w:t>
            </w:r>
          </w:p>
        </w:tc>
        <w:tc>
          <w:tcPr>
            <w:tcW w:w="113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Majeure</w:t>
            </w:r>
          </w:p>
        </w:tc>
        <w:tc>
          <w:tcPr>
            <w:tcW w:w="158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Dès la 1ère consta</w:t>
            </w:r>
            <w:r>
              <w:rPr>
                <w:rFonts w:ascii="Calibri" w:hAnsi="Calibri"/>
              </w:rPr>
              <w:t>tation</w:t>
            </w:r>
          </w:p>
        </w:tc>
        <w:tc>
          <w:tcPr>
            <w:tcW w:w="306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Suspension temporaire des droits d'exportation liés aux avantages fédéraux.</w:t>
            </w:r>
          </w:p>
        </w:tc>
      </w:tr>
      <w:tr w:rsidR="00034A2A">
        <w:tc>
          <w:tcPr>
            <w:tcW w:w="147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INF-404</w:t>
            </w:r>
          </w:p>
        </w:tc>
        <w:tc>
          <w:tcPr>
            <w:tcW w:w="299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Actes de dumping ou pratiques commerciales portant gravement préjudice à la réputation de l'origine Maroc</w:t>
            </w:r>
          </w:p>
        </w:tc>
        <w:tc>
          <w:tcPr>
            <w:tcW w:w="113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Critique</w:t>
            </w:r>
          </w:p>
        </w:tc>
        <w:tc>
          <w:tcPr>
            <w:tcW w:w="158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Dès la 1ère constatation</w:t>
            </w:r>
          </w:p>
        </w:tc>
        <w:tc>
          <w:tcPr>
            <w:tcW w:w="306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 xml:space="preserve">Exclusion définitive de </w:t>
            </w:r>
            <w:r>
              <w:rPr>
                <w:rFonts w:ascii="Calibri" w:hAnsi="Calibri"/>
              </w:rPr>
              <w:t>la Fédération et de ses instances.</w:t>
            </w:r>
          </w:p>
        </w:tc>
      </w:tr>
      <w:tr w:rsidR="00034A2A">
        <w:tc>
          <w:tcPr>
            <w:tcW w:w="147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INF-501</w:t>
            </w:r>
          </w:p>
        </w:tc>
        <w:tc>
          <w:tcPr>
            <w:tcW w:w="299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Refus injustifié de participer aux sessions obligatoires de formation et mise à niveau technique</w:t>
            </w:r>
          </w:p>
        </w:tc>
        <w:tc>
          <w:tcPr>
            <w:tcW w:w="113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Mineure</w:t>
            </w:r>
          </w:p>
        </w:tc>
        <w:tc>
          <w:tcPr>
            <w:tcW w:w="158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Dès la 1ère constatation</w:t>
            </w:r>
          </w:p>
        </w:tc>
        <w:tc>
          <w:tcPr>
            <w:tcW w:w="306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Avertissement écrit formel.</w:t>
            </w:r>
          </w:p>
        </w:tc>
      </w:tr>
      <w:tr w:rsidR="00034A2A">
        <w:tc>
          <w:tcPr>
            <w:tcW w:w="147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INF-502</w:t>
            </w:r>
          </w:p>
        </w:tc>
        <w:tc>
          <w:tcPr>
            <w:tcW w:w="299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Refus délibéré de s'inscrire ou d'inscrire so</w:t>
            </w:r>
            <w:r>
              <w:rPr>
                <w:rFonts w:ascii="Calibri" w:hAnsi="Calibri"/>
              </w:rPr>
              <w:t>n personnel au régime de protection sociale (Loi 09-21)</w:t>
            </w:r>
          </w:p>
        </w:tc>
        <w:tc>
          <w:tcPr>
            <w:tcW w:w="113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Majeure</w:t>
            </w:r>
          </w:p>
        </w:tc>
        <w:tc>
          <w:tcPr>
            <w:tcW w:w="158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Dès la 1ère constatation</w:t>
            </w:r>
          </w:p>
        </w:tc>
        <w:tc>
          <w:tcPr>
            <w:tcW w:w="306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Suspension immédiate de l’accès aux subventions de l'État et aux aides du Contrat-Programme.</w:t>
            </w:r>
          </w:p>
        </w:tc>
      </w:tr>
      <w:tr w:rsidR="00034A2A">
        <w:tc>
          <w:tcPr>
            <w:tcW w:w="147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INF-503</w:t>
            </w:r>
          </w:p>
        </w:tc>
        <w:tc>
          <w:tcPr>
            <w:tcW w:w="299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Non-respect des engagements contractuels liés aux projets d'agrég</w:t>
            </w:r>
            <w:r>
              <w:rPr>
                <w:rFonts w:ascii="Calibri" w:hAnsi="Calibri"/>
              </w:rPr>
              <w:t>ation ou de développement</w:t>
            </w:r>
          </w:p>
        </w:tc>
        <w:tc>
          <w:tcPr>
            <w:tcW w:w="113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Majeure</w:t>
            </w:r>
          </w:p>
        </w:tc>
        <w:tc>
          <w:tcPr>
            <w:tcW w:w="158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Dès la 1ère constatation</w:t>
            </w:r>
          </w:p>
        </w:tc>
        <w:tc>
          <w:tcPr>
            <w:tcW w:w="306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Amende équivalente au préjudice subi + exclusion des futurs appels à projets de la Fédération.</w:t>
            </w:r>
          </w:p>
        </w:tc>
      </w:tr>
      <w:tr w:rsidR="00034A2A">
        <w:tc>
          <w:tcPr>
            <w:tcW w:w="147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INF-601</w:t>
            </w:r>
          </w:p>
        </w:tc>
        <w:tc>
          <w:tcPr>
            <w:tcW w:w="299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 xml:space="preserve">Actes de fraude avérée, falsification de signatures ou de documents officiels de la </w:t>
            </w:r>
            <w:r>
              <w:rPr>
                <w:rFonts w:ascii="Calibri" w:hAnsi="Calibri"/>
              </w:rPr>
              <w:t>Fédération</w:t>
            </w:r>
          </w:p>
        </w:tc>
        <w:tc>
          <w:tcPr>
            <w:tcW w:w="113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Absolue</w:t>
            </w:r>
          </w:p>
        </w:tc>
        <w:tc>
          <w:tcPr>
            <w:tcW w:w="158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Dès la 1ère constatation</w:t>
            </w:r>
          </w:p>
        </w:tc>
        <w:tc>
          <w:tcPr>
            <w:tcW w:w="306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Exclusion définitive et immédiate + poursuites judiciaires pénales.</w:t>
            </w:r>
          </w:p>
        </w:tc>
      </w:tr>
      <w:tr w:rsidR="00034A2A">
        <w:tc>
          <w:tcPr>
            <w:tcW w:w="147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INF-602</w:t>
            </w:r>
          </w:p>
        </w:tc>
        <w:tc>
          <w:tcPr>
            <w:tcW w:w="299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Utilisation d’intrants chimiques, pesticides ou produits phytopharmaceutiques interdits par la loi</w:t>
            </w:r>
          </w:p>
        </w:tc>
        <w:tc>
          <w:tcPr>
            <w:tcW w:w="113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Absolue</w:t>
            </w:r>
          </w:p>
        </w:tc>
        <w:tc>
          <w:tcPr>
            <w:tcW w:w="158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Dès la 1ère constatation</w:t>
            </w:r>
          </w:p>
        </w:tc>
        <w:tc>
          <w:tcPr>
            <w:tcW w:w="306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Exc</w:t>
            </w:r>
            <w:r>
              <w:rPr>
                <w:rFonts w:ascii="Calibri" w:hAnsi="Calibri"/>
              </w:rPr>
              <w:t>lusion définitive + signalement officiel aux autorités de contrôle sanitaire.</w:t>
            </w:r>
          </w:p>
        </w:tc>
      </w:tr>
      <w:tr w:rsidR="00034A2A">
        <w:tc>
          <w:tcPr>
            <w:tcW w:w="147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INF-603</w:t>
            </w:r>
          </w:p>
        </w:tc>
        <w:tc>
          <w:tcPr>
            <w:tcW w:w="299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Pratiques de spéculation sauvage, ententes illicites ou manipulation des cours du marché de la rose</w:t>
            </w:r>
          </w:p>
        </w:tc>
        <w:tc>
          <w:tcPr>
            <w:tcW w:w="113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Absolue</w:t>
            </w:r>
          </w:p>
        </w:tc>
        <w:tc>
          <w:tcPr>
            <w:tcW w:w="158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Dès la 1ère constatation</w:t>
            </w:r>
          </w:p>
        </w:tc>
        <w:tc>
          <w:tcPr>
            <w:tcW w:w="306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 xml:space="preserve">Exclusion définitive + saisine du </w:t>
            </w:r>
            <w:r>
              <w:rPr>
                <w:rFonts w:ascii="Calibri" w:hAnsi="Calibri"/>
              </w:rPr>
              <w:t>Conseil de la Concurrence.</w:t>
            </w:r>
          </w:p>
        </w:tc>
      </w:tr>
      <w:tr w:rsidR="00034A2A">
        <w:tc>
          <w:tcPr>
            <w:tcW w:w="147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INF-604</w:t>
            </w:r>
          </w:p>
        </w:tc>
        <w:tc>
          <w:tcPr>
            <w:tcW w:w="299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Faits de corruption, détournement de fonds ou conflits d'intérêts non déclarés au sein des instances</w:t>
            </w:r>
          </w:p>
        </w:tc>
        <w:tc>
          <w:tcPr>
            <w:tcW w:w="1134"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Absolue</w:t>
            </w:r>
          </w:p>
        </w:tc>
        <w:tc>
          <w:tcPr>
            <w:tcW w:w="1588"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Dès la 1ère constatation</w:t>
            </w:r>
          </w:p>
        </w:tc>
        <w:tc>
          <w:tcPr>
            <w:tcW w:w="3063"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rPr>
                <w:rFonts w:ascii="Calibri" w:hAnsi="Calibri"/>
              </w:rPr>
            </w:pPr>
            <w:r>
              <w:rPr>
                <w:rFonts w:ascii="Calibri" w:hAnsi="Calibri"/>
              </w:rPr>
              <w:t>Destitution immédiate du mandat social, Exclusion définitive et dépôt de plainte pénal</w:t>
            </w:r>
            <w:r>
              <w:rPr>
                <w:rFonts w:ascii="Calibri" w:hAnsi="Calibri"/>
              </w:rPr>
              <w:t>e.</w:t>
            </w:r>
          </w:p>
        </w:tc>
      </w:tr>
    </w:tbl>
    <w:p w:rsidR="00034A2A" w:rsidRDefault="00034A2A">
      <w:pPr>
        <w:pStyle w:val="Titre4"/>
        <w:keepNext w:val="0"/>
        <w:rPr>
          <w:rFonts w:ascii="Calibri" w:hAnsi="Calibri"/>
        </w:rPr>
      </w:pPr>
    </w:p>
    <w:p w:rsidR="00034A2A" w:rsidRDefault="001F2E10">
      <w:pPr>
        <w:pStyle w:val="Titre4"/>
        <w:rPr>
          <w:rFonts w:ascii="Calibri" w:hAnsi="Calibri"/>
        </w:rPr>
      </w:pPr>
      <w:r>
        <w:rPr>
          <w:rFonts w:ascii="Calibri" w:hAnsi="Calibri"/>
        </w:rPr>
        <w:t>Clauses Rigoureuses d'Application :</w:t>
      </w:r>
    </w:p>
    <w:p w:rsidR="00034A2A" w:rsidRDefault="001F2E10">
      <w:pPr>
        <w:pStyle w:val="Corpsdetexte"/>
        <w:numPr>
          <w:ilvl w:val="0"/>
          <w:numId w:val="16"/>
        </w:numPr>
        <w:tabs>
          <w:tab w:val="left" w:pos="0"/>
        </w:tabs>
        <w:rPr>
          <w:rFonts w:ascii="Calibri" w:hAnsi="Calibri"/>
        </w:rPr>
      </w:pPr>
      <w:r>
        <w:rPr>
          <w:rFonts w:ascii="Calibri" w:hAnsi="Calibri"/>
        </w:rPr>
        <w:t>Principe du Cumul : Le Conseil d'Administration a la faculté de prononcer le cumul d'une sanction pécuniaire (amende) et d'une sanction administrative (suspension).</w:t>
      </w:r>
    </w:p>
    <w:p w:rsidR="00034A2A" w:rsidRDefault="001F2E10">
      <w:pPr>
        <w:pStyle w:val="Corpsdetexte"/>
        <w:numPr>
          <w:ilvl w:val="0"/>
          <w:numId w:val="16"/>
        </w:numPr>
        <w:tabs>
          <w:tab w:val="left" w:pos="0"/>
        </w:tabs>
        <w:rPr>
          <w:rFonts w:ascii="Calibri" w:hAnsi="Calibri"/>
        </w:rPr>
      </w:pPr>
      <w:r>
        <w:rPr>
          <w:rFonts w:ascii="Calibri" w:hAnsi="Calibri"/>
        </w:rPr>
        <w:t xml:space="preserve">Récidive Légale : Toute infraction de même nature </w:t>
      </w:r>
      <w:r>
        <w:rPr>
          <w:rFonts w:ascii="Calibri" w:hAnsi="Calibri"/>
        </w:rPr>
        <w:t>constatée dans un intervalle de 24 mois après la première sanction entraîne automatiquement le doublement de l’amende financière et l'application de la sanction du degré supérieur.</w:t>
      </w:r>
    </w:p>
    <w:p w:rsidR="00034A2A" w:rsidRDefault="001F2E10">
      <w:pPr>
        <w:pStyle w:val="Corpsdetexte"/>
        <w:numPr>
          <w:ilvl w:val="0"/>
          <w:numId w:val="16"/>
        </w:numPr>
        <w:tabs>
          <w:tab w:val="left" w:pos="0"/>
        </w:tabs>
        <w:rPr>
          <w:rFonts w:ascii="Calibri" w:hAnsi="Calibri"/>
        </w:rPr>
      </w:pPr>
      <w:r>
        <w:rPr>
          <w:rFonts w:ascii="Calibri" w:hAnsi="Calibri"/>
        </w:rPr>
        <w:t>Privation des Droits : Aucun membre sous le coup d'une procédure disciplina</w:t>
      </w:r>
      <w:r>
        <w:rPr>
          <w:rFonts w:ascii="Calibri" w:hAnsi="Calibri"/>
        </w:rPr>
        <w:t>ire ou d'une suspension ne peut prétendre aux subventions publiques, aux invitations aux foires et salons internationaux, ni postuler aux appels à projets de la FIMAROSE.</w:t>
      </w:r>
    </w:p>
    <w:p w:rsidR="00034A2A" w:rsidRDefault="001F2E10">
      <w:pPr>
        <w:pStyle w:val="Corpsdetexte"/>
        <w:numPr>
          <w:ilvl w:val="0"/>
          <w:numId w:val="16"/>
        </w:numPr>
        <w:tabs>
          <w:tab w:val="left" w:pos="0"/>
        </w:tabs>
        <w:rPr>
          <w:rFonts w:ascii="Calibri" w:hAnsi="Calibri"/>
        </w:rPr>
      </w:pPr>
      <w:r>
        <w:rPr>
          <w:rFonts w:ascii="Calibri" w:hAnsi="Calibri"/>
        </w:rPr>
        <w:t>Principe de Transparence : Les sanctions devenues définitives font l'objet d'une publ</w:t>
      </w:r>
      <w:r>
        <w:rPr>
          <w:rFonts w:ascii="Calibri" w:hAnsi="Calibri"/>
        </w:rPr>
        <w:t>ication officielle sur le tableau d'affichage interne du siège social et sont consignées dans la section réservée de la plateforme numérique de la Fédération.</w:t>
      </w:r>
    </w:p>
    <w:p w:rsidR="00034A2A" w:rsidRDefault="001F2E10">
      <w:pPr>
        <w:pStyle w:val="Titre3"/>
        <w:keepNext w:val="0"/>
      </w:pPr>
      <w:r>
        <w:t>Système de notation et d'évaluation des membres</w:t>
      </w:r>
    </w:p>
    <w:p w:rsidR="00034A2A" w:rsidRDefault="001F2E10">
      <w:pPr>
        <w:pStyle w:val="Corpsdetexte"/>
      </w:pPr>
      <w:r>
        <w:t>Article 1 : Principe et objectif</w:t>
      </w:r>
    </w:p>
    <w:p w:rsidR="00034A2A" w:rsidRDefault="001F2E10">
      <w:pPr>
        <w:pStyle w:val="Corpsdetexte"/>
        <w:spacing w:after="0"/>
      </w:pPr>
      <w:r>
        <w:t xml:space="preserve">Il est instauré </w:t>
      </w:r>
      <w:r>
        <w:t>au sein de la Fédération Interprofessionnelle Marocaine de la Rose à Parfumer (FIMAROSE) un système numérique de notation et d'évaluation des membres et partenaires, dénommé « Système de Notation Professionnelle ». Ce système vise à mesurer le degré de con</w:t>
      </w:r>
      <w:r>
        <w:t>formité de chaque membre à ses obligations légales, contractuelles (Contrat-Programme 2022-2030) et techniques, et à convertir les résultats de cette notation en décisions automatiques liées aux mesures incitatives ou aux sanctions.</w:t>
      </w:r>
    </w:p>
    <w:p w:rsidR="00034A2A" w:rsidRDefault="001F2E10">
      <w:pPr>
        <w:pStyle w:val="Corpsdetexte"/>
        <w:spacing w:after="0"/>
      </w:pPr>
      <w:r>
        <w:t>Article 2 : Solde annue</w:t>
      </w:r>
      <w:r>
        <w:t>l et calendrier</w:t>
      </w:r>
    </w:p>
    <w:p w:rsidR="00034A2A" w:rsidRDefault="001F2E10">
      <w:pPr>
        <w:pStyle w:val="Corpsdetexte"/>
        <w:numPr>
          <w:ilvl w:val="0"/>
          <w:numId w:val="17"/>
        </w:numPr>
        <w:tabs>
          <w:tab w:val="left" w:pos="0"/>
        </w:tabs>
        <w:spacing w:after="0"/>
      </w:pPr>
      <w:r>
        <w:t>Le système attribue à chaque membre adhérent un solde initial de 100 points au 1er janvier de chaque année.</w:t>
      </w:r>
    </w:p>
    <w:p w:rsidR="00034A2A" w:rsidRDefault="001F2E10">
      <w:pPr>
        <w:pStyle w:val="Corpsdetexte"/>
        <w:numPr>
          <w:ilvl w:val="0"/>
          <w:numId w:val="17"/>
        </w:numPr>
        <w:tabs>
          <w:tab w:val="left" w:pos="0"/>
        </w:tabs>
        <w:spacing w:after="0"/>
      </w:pPr>
      <w:r>
        <w:t xml:space="preserve">Les points sont déduits sur la base des rapports du « Responsable du contrôle et de la conformité » et du « Responsable du suivi et </w:t>
      </w:r>
      <w:r>
        <w:t>de l'évaluation », approuvés par le Comité de Gouvernance.</w:t>
      </w:r>
    </w:p>
    <w:p w:rsidR="00034A2A" w:rsidRDefault="001F2E10">
      <w:pPr>
        <w:pStyle w:val="Corpsdetexte"/>
        <w:numPr>
          <w:ilvl w:val="0"/>
          <w:numId w:val="17"/>
        </w:numPr>
        <w:tabs>
          <w:tab w:val="left" w:pos="0"/>
        </w:tabs>
      </w:pPr>
      <w:r>
        <w:t>Le solde est réinitialisé (Reset) à 100 points à la fin de l'exercice financier, tout en conservant l'historique du membre (Historical Score) pour déterminer les cas de récidive.</w:t>
      </w:r>
    </w:p>
    <w:p w:rsidR="00034A2A" w:rsidRDefault="001F2E10">
      <w:pPr>
        <w:pStyle w:val="Titre3"/>
        <w:keepNext w:val="0"/>
        <w:spacing w:before="0" w:after="0"/>
      </w:pPr>
      <w:r>
        <w:t>I. Matrice de dédu</w:t>
      </w:r>
      <w:r>
        <w:t>ction des points (Deduction Matrix)</w:t>
      </w:r>
    </w:p>
    <w:p w:rsidR="00034A2A" w:rsidRDefault="001F2E10">
      <w:pPr>
        <w:pStyle w:val="Corpsdetexte"/>
      </w:pPr>
      <w:r>
        <w:t>Les critères de conformité sont répartis en 4 axes fondamentaux couvrant tous les aspects du Contrat-Programme :</w:t>
      </w:r>
    </w:p>
    <w:p w:rsidR="00034A2A" w:rsidRDefault="001F2E10">
      <w:pPr>
        <w:pStyle w:val="Titre4"/>
        <w:keepNext w:val="0"/>
      </w:pPr>
      <w:r>
        <w:t>1. Axe de conformité légale et sociale (Poids : 25%)</w:t>
      </w:r>
    </w:p>
    <w:tbl>
      <w:tblPr>
        <w:tblW w:w="10239" w:type="dxa"/>
        <w:tblInd w:w="-261" w:type="dxa"/>
        <w:tblLayout w:type="fixed"/>
        <w:tblCellMar>
          <w:top w:w="91" w:type="dxa"/>
          <w:left w:w="136" w:type="dxa"/>
          <w:bottom w:w="91" w:type="dxa"/>
          <w:right w:w="136" w:type="dxa"/>
        </w:tblCellMar>
        <w:tblLook w:val="04A0" w:firstRow="1" w:lastRow="0" w:firstColumn="1" w:lastColumn="0" w:noHBand="0" w:noVBand="1"/>
      </w:tblPr>
      <w:tblGrid>
        <w:gridCol w:w="1066"/>
        <w:gridCol w:w="6622"/>
        <w:gridCol w:w="2551"/>
      </w:tblGrid>
      <w:tr w:rsidR="00034A2A">
        <w:trPr>
          <w:tblHeader/>
        </w:trPr>
        <w:tc>
          <w:tcPr>
            <w:tcW w:w="1066"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rPr>
                <w:rStyle w:val="lev"/>
              </w:rPr>
              <w:t>Code</w:t>
            </w:r>
          </w:p>
        </w:tc>
        <w:tc>
          <w:tcPr>
            <w:tcW w:w="6622"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rPr>
                <w:rStyle w:val="lev"/>
              </w:rPr>
              <w:t>Nature de l'infraction / manquement</w:t>
            </w:r>
          </w:p>
        </w:tc>
        <w:tc>
          <w:tcPr>
            <w:tcW w:w="2551"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rPr>
                <w:rStyle w:val="lev"/>
              </w:rPr>
              <w:t>Points déduit</w:t>
            </w:r>
            <w:r>
              <w:rPr>
                <w:rStyle w:val="lev"/>
              </w:rPr>
              <w:t>s</w:t>
            </w:r>
          </w:p>
        </w:tc>
      </w:tr>
      <w:tr w:rsidR="00034A2A">
        <w:tc>
          <w:tcPr>
            <w:tcW w:w="1066"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t>LEG-01</w:t>
            </w:r>
          </w:p>
        </w:tc>
        <w:tc>
          <w:tcPr>
            <w:tcW w:w="6622"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t>Non-affiliation au système de protection sociale (pour les salariés ou les membres des coopératives)</w:t>
            </w:r>
          </w:p>
        </w:tc>
        <w:tc>
          <w:tcPr>
            <w:tcW w:w="2551"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t>20 points</w:t>
            </w:r>
          </w:p>
        </w:tc>
      </w:tr>
      <w:tr w:rsidR="00034A2A">
        <w:tc>
          <w:tcPr>
            <w:tcW w:w="1066"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t>LEG-02</w:t>
            </w:r>
          </w:p>
        </w:tc>
        <w:tc>
          <w:tcPr>
            <w:tcW w:w="6622"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t>Emploi de mineurs ou non-respect des normes fondamentales du travail</w:t>
            </w:r>
          </w:p>
        </w:tc>
        <w:tc>
          <w:tcPr>
            <w:tcW w:w="2551"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t>40 points (déduction immédiate)</w:t>
            </w:r>
          </w:p>
        </w:tc>
      </w:tr>
      <w:tr w:rsidR="00034A2A">
        <w:tc>
          <w:tcPr>
            <w:tcW w:w="1066"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t>LEG-03</w:t>
            </w:r>
          </w:p>
        </w:tc>
        <w:tc>
          <w:tcPr>
            <w:tcW w:w="6622"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t>Expiration de l'</w:t>
            </w:r>
            <w:r>
              <w:t>agrément sanitaire de l'ONSSA sans régularisation de la situation</w:t>
            </w:r>
          </w:p>
        </w:tc>
        <w:tc>
          <w:tcPr>
            <w:tcW w:w="2551"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t>30 points</w:t>
            </w:r>
          </w:p>
        </w:tc>
      </w:tr>
    </w:tbl>
    <w:p w:rsidR="00034A2A" w:rsidRDefault="001F2E10">
      <w:pPr>
        <w:pStyle w:val="Titre4"/>
        <w:keepNext w:val="0"/>
      </w:pPr>
      <w:r>
        <w:t>2. Axe de gouvernance et saisie des données (Poids : 25%)</w:t>
      </w:r>
    </w:p>
    <w:tbl>
      <w:tblPr>
        <w:tblW w:w="10171" w:type="dxa"/>
        <w:tblInd w:w="-227" w:type="dxa"/>
        <w:tblLayout w:type="fixed"/>
        <w:tblCellMar>
          <w:top w:w="91" w:type="dxa"/>
          <w:left w:w="136" w:type="dxa"/>
          <w:bottom w:w="91" w:type="dxa"/>
          <w:right w:w="136" w:type="dxa"/>
        </w:tblCellMar>
        <w:tblLook w:val="04A0" w:firstRow="1" w:lastRow="0" w:firstColumn="1" w:lastColumn="0" w:noHBand="0" w:noVBand="1"/>
      </w:tblPr>
      <w:tblGrid>
        <w:gridCol w:w="1111"/>
        <w:gridCol w:w="6565"/>
        <w:gridCol w:w="2495"/>
      </w:tblGrid>
      <w:tr w:rsidR="00034A2A">
        <w:trPr>
          <w:tblHeader/>
        </w:trPr>
        <w:tc>
          <w:tcPr>
            <w:tcW w:w="1111"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rPr>
                <w:rStyle w:val="lev"/>
              </w:rPr>
              <w:t>Code</w:t>
            </w:r>
          </w:p>
        </w:tc>
        <w:tc>
          <w:tcPr>
            <w:tcW w:w="6565"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rPr>
                <w:rStyle w:val="lev"/>
              </w:rPr>
              <w:t>Nature de l'infraction / manquement</w:t>
            </w:r>
          </w:p>
        </w:tc>
        <w:tc>
          <w:tcPr>
            <w:tcW w:w="2495"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rPr>
                <w:rStyle w:val="lev"/>
              </w:rPr>
              <w:t>Points déduits</w:t>
            </w:r>
          </w:p>
        </w:tc>
      </w:tr>
      <w:tr w:rsidR="00034A2A">
        <w:tc>
          <w:tcPr>
            <w:tcW w:w="1111"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t>DAT-01</w:t>
            </w:r>
          </w:p>
        </w:tc>
        <w:tc>
          <w:tcPr>
            <w:tcW w:w="6565"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t xml:space="preserve">Retard dans la saisie des données mensuelles sur la </w:t>
            </w:r>
            <w:r>
              <w:t>plateforme numérique (dépassant 10 jours)</w:t>
            </w:r>
          </w:p>
        </w:tc>
        <w:tc>
          <w:tcPr>
            <w:tcW w:w="2495"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t>5 points par mois</w:t>
            </w:r>
          </w:p>
        </w:tc>
      </w:tr>
      <w:tr w:rsidR="00034A2A">
        <w:tc>
          <w:tcPr>
            <w:tcW w:w="1111"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t>DAT-02</w:t>
            </w:r>
          </w:p>
        </w:tc>
        <w:tc>
          <w:tcPr>
            <w:tcW w:w="6565"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t>Refus total de soumettre les rapports annuels de production ou de transformation</w:t>
            </w:r>
          </w:p>
        </w:tc>
        <w:tc>
          <w:tcPr>
            <w:tcW w:w="2495"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t>25 points</w:t>
            </w:r>
          </w:p>
        </w:tc>
      </w:tr>
      <w:tr w:rsidR="00034A2A">
        <w:tc>
          <w:tcPr>
            <w:tcW w:w="1111"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t>DAT-03</w:t>
            </w:r>
          </w:p>
        </w:tc>
        <w:tc>
          <w:tcPr>
            <w:tcW w:w="6565"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t>Soumission de données erronées ou imprécises (prouvée par audit sur terrain)</w:t>
            </w:r>
          </w:p>
        </w:tc>
        <w:tc>
          <w:tcPr>
            <w:tcW w:w="2495"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t>30 points</w:t>
            </w:r>
          </w:p>
        </w:tc>
      </w:tr>
      <w:tr w:rsidR="00034A2A">
        <w:tc>
          <w:tcPr>
            <w:tcW w:w="1111"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t>GOV-01</w:t>
            </w:r>
          </w:p>
        </w:tc>
        <w:tc>
          <w:tcPr>
            <w:tcW w:w="6565"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t>Absence injustifiée aux Assemblées Générales ou réunions officielles convoquées</w:t>
            </w:r>
          </w:p>
        </w:tc>
        <w:tc>
          <w:tcPr>
            <w:tcW w:w="2495"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t>10 points par absence</w:t>
            </w:r>
          </w:p>
        </w:tc>
      </w:tr>
    </w:tbl>
    <w:p w:rsidR="00034A2A" w:rsidRDefault="00034A2A">
      <w:pPr>
        <w:pStyle w:val="Titre4"/>
        <w:keepNext w:val="0"/>
      </w:pPr>
    </w:p>
    <w:p w:rsidR="00034A2A" w:rsidRDefault="001F2E10">
      <w:pPr>
        <w:pStyle w:val="Titre4"/>
      </w:pPr>
      <w:r>
        <w:t>3. Axe de qualité et valorisation technique (Poids : 30%)</w:t>
      </w:r>
    </w:p>
    <w:tbl>
      <w:tblPr>
        <w:tblW w:w="10318" w:type="dxa"/>
        <w:tblInd w:w="-125" w:type="dxa"/>
        <w:tblLayout w:type="fixed"/>
        <w:tblCellMar>
          <w:top w:w="91" w:type="dxa"/>
          <w:left w:w="136" w:type="dxa"/>
          <w:bottom w:w="91" w:type="dxa"/>
          <w:right w:w="136" w:type="dxa"/>
        </w:tblCellMar>
        <w:tblLook w:val="04A0" w:firstRow="1" w:lastRow="0" w:firstColumn="1" w:lastColumn="0" w:noHBand="0" w:noVBand="1"/>
      </w:tblPr>
      <w:tblGrid>
        <w:gridCol w:w="1157"/>
        <w:gridCol w:w="7302"/>
        <w:gridCol w:w="1859"/>
      </w:tblGrid>
      <w:tr w:rsidR="00034A2A">
        <w:trPr>
          <w:tblHeader/>
        </w:trPr>
        <w:tc>
          <w:tcPr>
            <w:tcW w:w="1157" w:type="dxa"/>
            <w:tcBorders>
              <w:top w:val="single" w:sz="2" w:space="0" w:color="C4C7C5"/>
              <w:left w:val="single" w:sz="2" w:space="0" w:color="C4C7C5"/>
              <w:bottom w:val="single" w:sz="2" w:space="0" w:color="C4C7C5"/>
            </w:tcBorders>
            <w:vAlign w:val="center"/>
          </w:tcPr>
          <w:p w:rsidR="00034A2A" w:rsidRDefault="001F2E10">
            <w:pPr>
              <w:pStyle w:val="TableContents"/>
            </w:pPr>
            <w:r>
              <w:rPr>
                <w:rStyle w:val="lev"/>
              </w:rPr>
              <w:t>Code</w:t>
            </w:r>
          </w:p>
        </w:tc>
        <w:tc>
          <w:tcPr>
            <w:tcW w:w="7302" w:type="dxa"/>
            <w:tcBorders>
              <w:top w:val="single" w:sz="2" w:space="0" w:color="C4C7C5"/>
              <w:left w:val="single" w:sz="2" w:space="0" w:color="C4C7C5"/>
              <w:bottom w:val="single" w:sz="2" w:space="0" w:color="C4C7C5"/>
            </w:tcBorders>
            <w:vAlign w:val="center"/>
          </w:tcPr>
          <w:p w:rsidR="00034A2A" w:rsidRDefault="001F2E10">
            <w:pPr>
              <w:pStyle w:val="TableContents"/>
            </w:pPr>
            <w:r>
              <w:rPr>
                <w:rStyle w:val="lev"/>
              </w:rPr>
              <w:t>Nature de l'infraction / manquement</w:t>
            </w:r>
          </w:p>
        </w:tc>
        <w:tc>
          <w:tcPr>
            <w:tcW w:w="1859" w:type="dxa"/>
            <w:tcBorders>
              <w:top w:val="single" w:sz="2" w:space="0" w:color="C4C7C5"/>
              <w:left w:val="single" w:sz="2" w:space="0" w:color="C4C7C5"/>
              <w:bottom w:val="single" w:sz="2" w:space="0" w:color="C4C7C5"/>
              <w:right w:val="single" w:sz="2" w:space="0" w:color="C4C7C5"/>
            </w:tcBorders>
            <w:vAlign w:val="center"/>
          </w:tcPr>
          <w:p w:rsidR="00034A2A" w:rsidRDefault="001F2E10">
            <w:pPr>
              <w:pStyle w:val="TableContents"/>
            </w:pPr>
            <w:r>
              <w:rPr>
                <w:rStyle w:val="lev"/>
              </w:rPr>
              <w:t>Points déduits</w:t>
            </w:r>
          </w:p>
        </w:tc>
      </w:tr>
      <w:tr w:rsidR="00034A2A">
        <w:tc>
          <w:tcPr>
            <w:tcW w:w="1157" w:type="dxa"/>
            <w:tcBorders>
              <w:left w:val="single" w:sz="2" w:space="0" w:color="C4C7C5"/>
              <w:bottom w:val="single" w:sz="2" w:space="0" w:color="C4C7C5"/>
            </w:tcBorders>
            <w:vAlign w:val="center"/>
          </w:tcPr>
          <w:p w:rsidR="00034A2A" w:rsidRDefault="001F2E10">
            <w:pPr>
              <w:pStyle w:val="TableContents"/>
            </w:pPr>
            <w:r>
              <w:t>TEC-01</w:t>
            </w:r>
          </w:p>
        </w:tc>
        <w:tc>
          <w:tcPr>
            <w:tcW w:w="7302" w:type="dxa"/>
            <w:tcBorders>
              <w:left w:val="single" w:sz="2" w:space="0" w:color="C4C7C5"/>
              <w:bottom w:val="single" w:sz="2" w:space="0" w:color="C4C7C5"/>
            </w:tcBorders>
            <w:vAlign w:val="center"/>
          </w:tcPr>
          <w:p w:rsidR="00034A2A" w:rsidRDefault="001F2E10">
            <w:pPr>
              <w:pStyle w:val="TableContents"/>
            </w:pPr>
            <w:r>
              <w:t>Détection de résidus de</w:t>
            </w:r>
            <w:r>
              <w:t xml:space="preserve"> pesticides interdits ou de substances chimiques non autorisées</w:t>
            </w:r>
          </w:p>
        </w:tc>
        <w:tc>
          <w:tcPr>
            <w:tcW w:w="1859" w:type="dxa"/>
            <w:tcBorders>
              <w:left w:val="single" w:sz="2" w:space="0" w:color="C4C7C5"/>
              <w:bottom w:val="single" w:sz="2" w:space="0" w:color="C4C7C5"/>
              <w:right w:val="single" w:sz="2" w:space="0" w:color="C4C7C5"/>
            </w:tcBorders>
            <w:vAlign w:val="center"/>
          </w:tcPr>
          <w:p w:rsidR="00034A2A" w:rsidRDefault="001F2E10">
            <w:pPr>
              <w:pStyle w:val="TableContents"/>
            </w:pPr>
            <w:r>
              <w:t>40 points</w:t>
            </w:r>
          </w:p>
        </w:tc>
      </w:tr>
      <w:tr w:rsidR="00034A2A">
        <w:tc>
          <w:tcPr>
            <w:tcW w:w="1157" w:type="dxa"/>
            <w:tcBorders>
              <w:left w:val="single" w:sz="2" w:space="0" w:color="C4C7C5"/>
              <w:bottom w:val="single" w:sz="2" w:space="0" w:color="C4C7C5"/>
            </w:tcBorders>
            <w:vAlign w:val="center"/>
          </w:tcPr>
          <w:p w:rsidR="00034A2A" w:rsidRDefault="001F2E10">
            <w:pPr>
              <w:pStyle w:val="TableContents"/>
            </w:pPr>
            <w:r>
              <w:t>TEC-02</w:t>
            </w:r>
          </w:p>
        </w:tc>
        <w:tc>
          <w:tcPr>
            <w:tcW w:w="7302" w:type="dxa"/>
            <w:tcBorders>
              <w:left w:val="single" w:sz="2" w:space="0" w:color="C4C7C5"/>
              <w:bottom w:val="single" w:sz="2" w:space="0" w:color="C4C7C5"/>
            </w:tcBorders>
            <w:vAlign w:val="center"/>
          </w:tcPr>
          <w:p w:rsidR="00034A2A" w:rsidRDefault="001F2E10">
            <w:pPr>
              <w:pStyle w:val="TableContents"/>
            </w:pPr>
            <w:r>
              <w:t>Non-conformité aux normes de qualité de conditionnement et d'emballage agréées par la Fédération</w:t>
            </w:r>
          </w:p>
        </w:tc>
        <w:tc>
          <w:tcPr>
            <w:tcW w:w="1859" w:type="dxa"/>
            <w:tcBorders>
              <w:left w:val="single" w:sz="2" w:space="0" w:color="C4C7C5"/>
              <w:bottom w:val="single" w:sz="2" w:space="0" w:color="C4C7C5"/>
              <w:right w:val="single" w:sz="2" w:space="0" w:color="C4C7C5"/>
            </w:tcBorders>
            <w:vAlign w:val="center"/>
          </w:tcPr>
          <w:p w:rsidR="00034A2A" w:rsidRDefault="001F2E10">
            <w:pPr>
              <w:pStyle w:val="TableContents"/>
            </w:pPr>
            <w:r>
              <w:t>15 points</w:t>
            </w:r>
          </w:p>
        </w:tc>
      </w:tr>
      <w:tr w:rsidR="00034A2A">
        <w:tc>
          <w:tcPr>
            <w:tcW w:w="1157" w:type="dxa"/>
            <w:tcBorders>
              <w:left w:val="single" w:sz="2" w:space="0" w:color="C4C7C5"/>
              <w:bottom w:val="single" w:sz="2" w:space="0" w:color="C4C7C5"/>
            </w:tcBorders>
            <w:vAlign w:val="center"/>
          </w:tcPr>
          <w:p w:rsidR="00034A2A" w:rsidRDefault="001F2E10">
            <w:pPr>
              <w:pStyle w:val="TableContents"/>
            </w:pPr>
            <w:r>
              <w:t>TEC-03</w:t>
            </w:r>
          </w:p>
        </w:tc>
        <w:tc>
          <w:tcPr>
            <w:tcW w:w="7302" w:type="dxa"/>
            <w:tcBorders>
              <w:left w:val="single" w:sz="2" w:space="0" w:color="C4C7C5"/>
              <w:bottom w:val="single" w:sz="2" w:space="0" w:color="C4C7C5"/>
            </w:tcBorders>
            <w:vAlign w:val="center"/>
          </w:tcPr>
          <w:p w:rsidR="00034A2A" w:rsidRDefault="001F2E10">
            <w:pPr>
              <w:pStyle w:val="TableContents"/>
            </w:pPr>
            <w:r>
              <w:t xml:space="preserve">Réduction du taux de valorisation et de transformation </w:t>
            </w:r>
            <w:r>
              <w:t>prévu dans les accords bilatéraux sans justification climatique</w:t>
            </w:r>
          </w:p>
        </w:tc>
        <w:tc>
          <w:tcPr>
            <w:tcW w:w="1859" w:type="dxa"/>
            <w:tcBorders>
              <w:left w:val="single" w:sz="2" w:space="0" w:color="C4C7C5"/>
              <w:bottom w:val="single" w:sz="2" w:space="0" w:color="C4C7C5"/>
              <w:right w:val="single" w:sz="2" w:space="0" w:color="C4C7C5"/>
            </w:tcBorders>
            <w:vAlign w:val="center"/>
          </w:tcPr>
          <w:p w:rsidR="00034A2A" w:rsidRDefault="001F2E10">
            <w:pPr>
              <w:pStyle w:val="TableContents"/>
            </w:pPr>
            <w:r>
              <w:t>20 points</w:t>
            </w:r>
          </w:p>
        </w:tc>
      </w:tr>
    </w:tbl>
    <w:p w:rsidR="00034A2A" w:rsidRDefault="001F2E10">
      <w:pPr>
        <w:pStyle w:val="Titre4"/>
        <w:keepNext w:val="0"/>
      </w:pPr>
      <w:r>
        <w:t>4. Axe commercial et Contrat-Programme (Poids : 20%)</w:t>
      </w:r>
    </w:p>
    <w:tbl>
      <w:tblPr>
        <w:tblW w:w="9763" w:type="dxa"/>
        <w:tblInd w:w="-126" w:type="dxa"/>
        <w:tblLayout w:type="fixed"/>
        <w:tblCellMar>
          <w:top w:w="91" w:type="dxa"/>
          <w:left w:w="136" w:type="dxa"/>
          <w:bottom w:w="91" w:type="dxa"/>
          <w:right w:w="136" w:type="dxa"/>
        </w:tblCellMar>
        <w:tblLook w:val="04A0" w:firstRow="1" w:lastRow="0" w:firstColumn="1" w:lastColumn="0" w:noHBand="0" w:noVBand="1"/>
      </w:tblPr>
      <w:tblGrid>
        <w:gridCol w:w="1157"/>
        <w:gridCol w:w="7200"/>
        <w:gridCol w:w="1406"/>
      </w:tblGrid>
      <w:tr w:rsidR="00034A2A">
        <w:trPr>
          <w:tblHeader/>
        </w:trPr>
        <w:tc>
          <w:tcPr>
            <w:tcW w:w="1157" w:type="dxa"/>
            <w:tcBorders>
              <w:top w:val="double" w:sz="2" w:space="0" w:color="C4C7C5"/>
              <w:left w:val="double" w:sz="2" w:space="0" w:color="C4C7C5"/>
              <w:bottom w:val="single" w:sz="2" w:space="0" w:color="C4C7C5"/>
            </w:tcBorders>
            <w:vAlign w:val="center"/>
          </w:tcPr>
          <w:p w:rsidR="00034A2A" w:rsidRDefault="001F2E10">
            <w:pPr>
              <w:pStyle w:val="TableContents"/>
            </w:pPr>
            <w:r>
              <w:rPr>
                <w:rStyle w:val="lev"/>
              </w:rPr>
              <w:t>Code</w:t>
            </w:r>
          </w:p>
        </w:tc>
        <w:tc>
          <w:tcPr>
            <w:tcW w:w="7200" w:type="dxa"/>
            <w:tcBorders>
              <w:top w:val="double" w:sz="2" w:space="0" w:color="C4C7C5"/>
              <w:left w:val="single" w:sz="2" w:space="0" w:color="C4C7C5"/>
              <w:bottom w:val="single" w:sz="2" w:space="0" w:color="C4C7C5"/>
            </w:tcBorders>
            <w:vAlign w:val="center"/>
          </w:tcPr>
          <w:p w:rsidR="00034A2A" w:rsidRDefault="001F2E10">
            <w:pPr>
              <w:pStyle w:val="TableContents"/>
            </w:pPr>
            <w:r>
              <w:rPr>
                <w:rStyle w:val="lev"/>
              </w:rPr>
              <w:t>Nature de l'infraction / manquement</w:t>
            </w:r>
          </w:p>
        </w:tc>
        <w:tc>
          <w:tcPr>
            <w:tcW w:w="1406" w:type="dxa"/>
            <w:tcBorders>
              <w:top w:val="double" w:sz="2" w:space="0" w:color="C4C7C5"/>
              <w:left w:val="single" w:sz="2" w:space="0" w:color="C4C7C5"/>
              <w:bottom w:val="single" w:sz="2" w:space="0" w:color="C4C7C5"/>
              <w:right w:val="double" w:sz="2" w:space="0" w:color="C4C7C5"/>
            </w:tcBorders>
            <w:vAlign w:val="center"/>
          </w:tcPr>
          <w:p w:rsidR="00034A2A" w:rsidRDefault="001F2E10">
            <w:pPr>
              <w:pStyle w:val="TableContents"/>
            </w:pPr>
            <w:r>
              <w:rPr>
                <w:rStyle w:val="lev"/>
              </w:rPr>
              <w:t>Points déduits</w:t>
            </w:r>
          </w:p>
        </w:tc>
      </w:tr>
      <w:tr w:rsidR="00034A2A">
        <w:tc>
          <w:tcPr>
            <w:tcW w:w="1157" w:type="dxa"/>
            <w:tcBorders>
              <w:left w:val="double" w:sz="2" w:space="0" w:color="C4C7C5"/>
              <w:bottom w:val="single" w:sz="2" w:space="0" w:color="C4C7C5"/>
            </w:tcBorders>
            <w:vAlign w:val="center"/>
          </w:tcPr>
          <w:p w:rsidR="00034A2A" w:rsidRDefault="001F2E10">
            <w:pPr>
              <w:pStyle w:val="TableContents"/>
            </w:pPr>
            <w:r>
              <w:t>MAR-01</w:t>
            </w:r>
          </w:p>
        </w:tc>
        <w:tc>
          <w:tcPr>
            <w:tcW w:w="7200" w:type="dxa"/>
            <w:tcBorders>
              <w:left w:val="single" w:sz="2" w:space="0" w:color="C4C7C5"/>
              <w:bottom w:val="single" w:sz="2" w:space="0" w:color="C4C7C5"/>
            </w:tcBorders>
            <w:vAlign w:val="center"/>
          </w:tcPr>
          <w:p w:rsidR="00034A2A" w:rsidRDefault="001F2E10">
            <w:pPr>
              <w:pStyle w:val="TableContents"/>
              <w:rPr>
                <w:color w:val="C9211E"/>
              </w:rPr>
            </w:pPr>
            <w:r>
              <w:rPr>
                <w:color w:val="C9211E"/>
              </w:rPr>
              <w:t>Vente hors circuits organisés (secteur informel / échappant à la</w:t>
            </w:r>
            <w:r>
              <w:rPr>
                <w:color w:val="C9211E"/>
              </w:rPr>
              <w:t xml:space="preserve"> traçabilité)</w:t>
            </w:r>
          </w:p>
        </w:tc>
        <w:tc>
          <w:tcPr>
            <w:tcW w:w="1406" w:type="dxa"/>
            <w:tcBorders>
              <w:left w:val="single" w:sz="2" w:space="0" w:color="C4C7C5"/>
              <w:bottom w:val="single" w:sz="2" w:space="0" w:color="C4C7C5"/>
              <w:right w:val="double" w:sz="2" w:space="0" w:color="C4C7C5"/>
            </w:tcBorders>
            <w:vAlign w:val="center"/>
          </w:tcPr>
          <w:p w:rsidR="00034A2A" w:rsidRDefault="001F2E10">
            <w:pPr>
              <w:pStyle w:val="TableContents"/>
            </w:pPr>
            <w:r>
              <w:rPr>
                <w:color w:val="C9211E"/>
              </w:rPr>
              <w:t>35</w:t>
            </w:r>
            <w:r>
              <w:t xml:space="preserve"> points</w:t>
            </w:r>
          </w:p>
          <w:p w:rsidR="00034A2A" w:rsidRDefault="001F2E10">
            <w:pPr>
              <w:pStyle w:val="TableContents"/>
            </w:pPr>
            <w:r>
              <w:t>Ou suspension d’adhésion</w:t>
            </w:r>
          </w:p>
        </w:tc>
      </w:tr>
      <w:tr w:rsidR="00034A2A">
        <w:tc>
          <w:tcPr>
            <w:tcW w:w="1157" w:type="dxa"/>
            <w:tcBorders>
              <w:left w:val="double" w:sz="2" w:space="0" w:color="C4C7C5"/>
              <w:bottom w:val="single" w:sz="2" w:space="0" w:color="C4C7C5"/>
            </w:tcBorders>
            <w:vAlign w:val="center"/>
          </w:tcPr>
          <w:p w:rsidR="00034A2A" w:rsidRDefault="001F2E10">
            <w:pPr>
              <w:pStyle w:val="TableContents"/>
            </w:pPr>
            <w:r>
              <w:t>MAR-02</w:t>
            </w:r>
          </w:p>
        </w:tc>
        <w:tc>
          <w:tcPr>
            <w:tcW w:w="7200" w:type="dxa"/>
            <w:tcBorders>
              <w:left w:val="single" w:sz="2" w:space="0" w:color="C4C7C5"/>
              <w:bottom w:val="single" w:sz="2" w:space="0" w:color="C4C7C5"/>
            </w:tcBorders>
            <w:vAlign w:val="center"/>
          </w:tcPr>
          <w:p w:rsidR="00034A2A" w:rsidRDefault="001F2E10">
            <w:pPr>
              <w:pStyle w:val="TableContents"/>
            </w:pPr>
            <w:r>
              <w:t>Exportation sans déclaration préalable à la Fédération</w:t>
            </w:r>
          </w:p>
        </w:tc>
        <w:tc>
          <w:tcPr>
            <w:tcW w:w="1406" w:type="dxa"/>
            <w:tcBorders>
              <w:left w:val="single" w:sz="2" w:space="0" w:color="C4C7C5"/>
              <w:bottom w:val="single" w:sz="2" w:space="0" w:color="C4C7C5"/>
              <w:right w:val="double" w:sz="2" w:space="0" w:color="C4C7C5"/>
            </w:tcBorders>
            <w:vAlign w:val="center"/>
          </w:tcPr>
          <w:p w:rsidR="00034A2A" w:rsidRDefault="001F2E10">
            <w:pPr>
              <w:pStyle w:val="TableContents"/>
            </w:pPr>
            <w:r>
              <w:t>25 points</w:t>
            </w:r>
          </w:p>
        </w:tc>
      </w:tr>
      <w:tr w:rsidR="00034A2A">
        <w:tc>
          <w:tcPr>
            <w:tcW w:w="1157" w:type="dxa"/>
            <w:tcBorders>
              <w:left w:val="double" w:sz="2" w:space="0" w:color="C4C7C5"/>
              <w:bottom w:val="double" w:sz="2" w:space="0" w:color="C4C7C5"/>
            </w:tcBorders>
            <w:vAlign w:val="center"/>
          </w:tcPr>
          <w:p w:rsidR="00034A2A" w:rsidRDefault="001F2E10">
            <w:pPr>
              <w:pStyle w:val="TableContents"/>
            </w:pPr>
            <w:r>
              <w:t>MAR-03</w:t>
            </w:r>
          </w:p>
        </w:tc>
        <w:tc>
          <w:tcPr>
            <w:tcW w:w="7200" w:type="dxa"/>
            <w:tcBorders>
              <w:left w:val="single" w:sz="2" w:space="0" w:color="C4C7C5"/>
              <w:bottom w:val="double" w:sz="2" w:space="0" w:color="C4C7C5"/>
            </w:tcBorders>
            <w:vAlign w:val="center"/>
          </w:tcPr>
          <w:p w:rsidR="00034A2A" w:rsidRDefault="001F2E10">
            <w:pPr>
              <w:pStyle w:val="TableContents"/>
            </w:pPr>
            <w:r>
              <w:t>Non-respect des quotas ou des projets conjoints financés dans le cadre du Contrat-Programme</w:t>
            </w:r>
          </w:p>
        </w:tc>
        <w:tc>
          <w:tcPr>
            <w:tcW w:w="1406" w:type="dxa"/>
            <w:tcBorders>
              <w:left w:val="single" w:sz="2" w:space="0" w:color="C4C7C5"/>
              <w:bottom w:val="double" w:sz="2" w:space="0" w:color="C4C7C5"/>
              <w:right w:val="double" w:sz="2" w:space="0" w:color="C4C7C5"/>
            </w:tcBorders>
            <w:vAlign w:val="center"/>
          </w:tcPr>
          <w:p w:rsidR="00034A2A" w:rsidRDefault="001F2E10">
            <w:pPr>
              <w:pStyle w:val="TableContents"/>
            </w:pPr>
            <w:r>
              <w:t>30 points</w:t>
            </w:r>
          </w:p>
        </w:tc>
      </w:tr>
    </w:tbl>
    <w:p w:rsidR="00034A2A" w:rsidRDefault="001F2E10">
      <w:pPr>
        <w:pStyle w:val="Titre3"/>
        <w:keepNext w:val="0"/>
      </w:pPr>
      <w:r>
        <w:t xml:space="preserve">II. Classification des </w:t>
      </w:r>
      <w:r>
        <w:t>niveaux des membres et effets juridiques et financiers</w:t>
      </w:r>
    </w:p>
    <w:p w:rsidR="00034A2A" w:rsidRDefault="001F2E10">
      <w:pPr>
        <w:pStyle w:val="Corpsdetexte"/>
      </w:pPr>
      <w:r>
        <w:t>Sur la base du solde de points restant, le membre est classé automatiquement dans le système numérique et les effets suivants sont appliqués :</w:t>
      </w:r>
    </w:p>
    <w:p w:rsidR="00034A2A" w:rsidRDefault="001F2E10">
      <w:pPr>
        <w:pStyle w:val="Corpsdetexte"/>
        <w:numPr>
          <w:ilvl w:val="0"/>
          <w:numId w:val="18"/>
        </w:numPr>
        <w:tabs>
          <w:tab w:val="left" w:pos="0"/>
        </w:tabs>
      </w:pPr>
      <w:r>
        <w:t>[100 - 85 points] : Classe (A) - Élite --&gt; Priorité au sou</w:t>
      </w:r>
      <w:r>
        <w:t>tien + Label de qualité</w:t>
      </w:r>
    </w:p>
    <w:p w:rsidR="00034A2A" w:rsidRDefault="001F2E10">
      <w:pPr>
        <w:pStyle w:val="Corpsdetexte"/>
        <w:numPr>
          <w:ilvl w:val="0"/>
          <w:numId w:val="18"/>
        </w:numPr>
        <w:tabs>
          <w:tab w:val="left" w:pos="0"/>
        </w:tabs>
      </w:pPr>
      <w:r>
        <w:t>[84 - 65 points] : Classe (B) - Conforme --&gt; Alerte + délai de régularisation</w:t>
      </w:r>
    </w:p>
    <w:p w:rsidR="00034A2A" w:rsidRDefault="001F2E10">
      <w:pPr>
        <w:pStyle w:val="Corpsdetexte"/>
        <w:numPr>
          <w:ilvl w:val="0"/>
          <w:numId w:val="18"/>
        </w:numPr>
        <w:tabs>
          <w:tab w:val="left" w:pos="0"/>
        </w:tabs>
      </w:pPr>
      <w:r>
        <w:t>[64 - 50 points] : Classe (C) - Sous surveillance --&gt; Amende + gel partiel des avantages</w:t>
      </w:r>
    </w:p>
    <w:p w:rsidR="00034A2A" w:rsidRDefault="001F2E10">
      <w:pPr>
        <w:pStyle w:val="Corpsdetexte"/>
        <w:numPr>
          <w:ilvl w:val="0"/>
          <w:numId w:val="18"/>
        </w:numPr>
        <w:tabs>
          <w:tab w:val="left" w:pos="0"/>
        </w:tabs>
      </w:pPr>
      <w:r>
        <w:t>[&lt; 50 points] : Classe (D) - Non-conforme (Risque) --&gt; Suspension</w:t>
      </w:r>
      <w:r>
        <w:t xml:space="preserve"> immédiate + transfert aux autorités/ONSSA</w:t>
      </w:r>
    </w:p>
    <w:p w:rsidR="00034A2A" w:rsidRDefault="001F2E10">
      <w:pPr>
        <w:pStyle w:val="Corpsdetexte"/>
      </w:pPr>
      <w:r>
        <w:t>1. Classe (A) : Conformité Excellente (Vert)</w:t>
      </w:r>
    </w:p>
    <w:p w:rsidR="00034A2A" w:rsidRDefault="001F2E10">
      <w:pPr>
        <w:pStyle w:val="Corpsdetexte"/>
        <w:numPr>
          <w:ilvl w:val="0"/>
          <w:numId w:val="19"/>
        </w:numPr>
        <w:tabs>
          <w:tab w:val="left" w:pos="0"/>
        </w:tabs>
      </w:pPr>
      <w:r>
        <w:t>Priorité absolue (Priorité 1) pour l'accès aux soutiens du Contrat-Programme (distribution de plants, matériel de distillation, caisses d'emballage).</w:t>
      </w:r>
    </w:p>
    <w:p w:rsidR="00034A2A" w:rsidRDefault="001F2E10">
      <w:pPr>
        <w:pStyle w:val="Corpsdetexte"/>
        <w:numPr>
          <w:ilvl w:val="0"/>
          <w:numId w:val="19"/>
        </w:numPr>
        <w:tabs>
          <w:tab w:val="left" w:pos="0"/>
        </w:tabs>
      </w:pPr>
      <w:r>
        <w:t xml:space="preserve">Accès gratuit aux </w:t>
      </w:r>
      <w:r>
        <w:t>stands lors des salons nationaux et internationaux.</w:t>
      </w:r>
    </w:p>
    <w:p w:rsidR="00034A2A" w:rsidRDefault="001F2E10">
      <w:pPr>
        <w:pStyle w:val="Corpsdetexte"/>
        <w:numPr>
          <w:ilvl w:val="0"/>
          <w:numId w:val="19"/>
        </w:numPr>
        <w:tabs>
          <w:tab w:val="left" w:pos="0"/>
        </w:tabs>
      </w:pPr>
      <w:r>
        <w:t>Droit d'utiliser le label de qualité et d'origine "FIMAROSE" sur les produits commercialisés.</w:t>
      </w:r>
    </w:p>
    <w:p w:rsidR="00034A2A" w:rsidRDefault="001F2E10">
      <w:pPr>
        <w:pStyle w:val="Corpsdetexte"/>
      </w:pPr>
      <w:r>
        <w:t>2. Classe (B) : Conformité Moyenne (Jaune)</w:t>
      </w:r>
    </w:p>
    <w:p w:rsidR="00034A2A" w:rsidRDefault="001F2E10">
      <w:pPr>
        <w:pStyle w:val="Corpsdetexte"/>
        <w:numPr>
          <w:ilvl w:val="0"/>
          <w:numId w:val="20"/>
        </w:numPr>
        <w:tabs>
          <w:tab w:val="left" w:pos="0"/>
        </w:tabs>
      </w:pPr>
      <w:r>
        <w:t>Envoi d'une « Alerte numérique automatique » via la plateforme pour</w:t>
      </w:r>
      <w:r>
        <w:t xml:space="preserve"> régulariser les infractions dans un délai maximum de 30 jours.</w:t>
      </w:r>
    </w:p>
    <w:p w:rsidR="00034A2A" w:rsidRDefault="001F2E10">
      <w:pPr>
        <w:pStyle w:val="Corpsdetexte"/>
        <w:numPr>
          <w:ilvl w:val="0"/>
          <w:numId w:val="20"/>
        </w:numPr>
        <w:tabs>
          <w:tab w:val="left" w:pos="0"/>
        </w:tabs>
      </w:pPr>
      <w:r>
        <w:t>Accès conditionné au soutien (second rang après la classe A).</w:t>
      </w:r>
    </w:p>
    <w:p w:rsidR="00034A2A" w:rsidRDefault="001F2E10">
      <w:pPr>
        <w:pStyle w:val="Corpsdetexte"/>
      </w:pPr>
      <w:r>
        <w:t>3. Classe (C) : Membre à haut risque (Orange)</w:t>
      </w:r>
    </w:p>
    <w:p w:rsidR="00034A2A" w:rsidRDefault="001F2E10">
      <w:pPr>
        <w:pStyle w:val="Corpsdetexte"/>
        <w:numPr>
          <w:ilvl w:val="0"/>
          <w:numId w:val="21"/>
        </w:numPr>
        <w:tabs>
          <w:tab w:val="left" w:pos="0"/>
        </w:tabs>
      </w:pPr>
      <w:r>
        <w:t xml:space="preserve">Gel immédiat de l'accès aux programmes de formation et au soutien </w:t>
      </w:r>
      <w:r>
        <w:t>financier/technique.</w:t>
      </w:r>
    </w:p>
    <w:p w:rsidR="00034A2A" w:rsidRDefault="001F2E10">
      <w:pPr>
        <w:pStyle w:val="Corpsdetexte"/>
        <w:numPr>
          <w:ilvl w:val="0"/>
          <w:numId w:val="21"/>
        </w:numPr>
        <w:tabs>
          <w:tab w:val="left" w:pos="0"/>
        </w:tabs>
        <w:spacing w:after="0"/>
      </w:pPr>
      <w:r>
        <w:t>Gel du droit de participation aux salons.</w:t>
      </w:r>
    </w:p>
    <w:p w:rsidR="00034A2A" w:rsidRDefault="001F2E10">
      <w:pPr>
        <w:pStyle w:val="Corpsdetexte"/>
        <w:numPr>
          <w:ilvl w:val="0"/>
          <w:numId w:val="21"/>
        </w:numPr>
        <w:tabs>
          <w:tab w:val="left" w:pos="0"/>
        </w:tabs>
        <w:spacing w:after="0"/>
      </w:pPr>
      <w:r>
        <w:t>Application d'une amende transactionnelle calculée comme suit : $(100 - \text{Score}) \times 200 \</w:t>
      </w:r>
      <w:proofErr w:type="gramStart"/>
      <w:r>
        <w:t>text{</w:t>
      </w:r>
      <w:proofErr w:type="gramEnd"/>
      <w:r>
        <w:t xml:space="preserve"> DH}$.</w:t>
      </w:r>
    </w:p>
    <w:p w:rsidR="00034A2A" w:rsidRDefault="001F2E10">
      <w:pPr>
        <w:pStyle w:val="Corpsdetexte"/>
        <w:spacing w:after="0"/>
      </w:pPr>
      <w:r>
        <w:t>4. Classe (D) : Membre non-conforme (Rouge)</w:t>
      </w:r>
    </w:p>
    <w:p w:rsidR="00034A2A" w:rsidRDefault="001F2E10">
      <w:pPr>
        <w:pStyle w:val="Corpsdetexte"/>
        <w:numPr>
          <w:ilvl w:val="0"/>
          <w:numId w:val="22"/>
        </w:numPr>
        <w:tabs>
          <w:tab w:val="left" w:pos="0"/>
        </w:tabs>
        <w:spacing w:after="0"/>
      </w:pPr>
      <w:r>
        <w:t>Suspension immédiate de l'adhésion à la</w:t>
      </w:r>
      <w:r>
        <w:t xml:space="preserve"> Fédération et privation du statut de "membre".</w:t>
      </w:r>
    </w:p>
    <w:p w:rsidR="00034A2A" w:rsidRDefault="001F2E10">
      <w:pPr>
        <w:pStyle w:val="Corpsdetexte"/>
        <w:numPr>
          <w:ilvl w:val="0"/>
          <w:numId w:val="22"/>
        </w:numPr>
        <w:tabs>
          <w:tab w:val="left" w:pos="0"/>
        </w:tabs>
        <w:spacing w:after="0"/>
      </w:pPr>
      <w:r>
        <w:t>Retrait de l'autorisation d'utiliser le label "FIMAROSE" et interdiction d'obtenir les certificats d'origine pour l'exportation.</w:t>
      </w:r>
    </w:p>
    <w:p w:rsidR="00034A2A" w:rsidRDefault="001F2E10">
      <w:pPr>
        <w:pStyle w:val="Corpsdetexte"/>
        <w:numPr>
          <w:ilvl w:val="0"/>
          <w:numId w:val="22"/>
        </w:numPr>
        <w:tabs>
          <w:tab w:val="left" w:pos="0"/>
        </w:tabs>
        <w:spacing w:after="0"/>
      </w:pPr>
      <w:r>
        <w:t>Transfert automatique du dossier au Comité de Gouvernance pour prononcer l'excl</w:t>
      </w:r>
      <w:r>
        <w:t>usion définitive ou le transfert aux services du Ministère de l'Agriculture et de l'ONSSA (en cas d'infractions sanitaires graves).</w:t>
      </w:r>
    </w:p>
    <w:p w:rsidR="00034A2A" w:rsidRDefault="001F2E10">
      <w:pPr>
        <w:pStyle w:val="Titre3"/>
        <w:keepNext w:val="0"/>
      </w:pPr>
      <w:r>
        <w:t xml:space="preserve">III. Cycle de flux des données et mécanisme de recours </w:t>
      </w:r>
    </w:p>
    <w:p w:rsidR="00034A2A" w:rsidRDefault="001F2E10">
      <w:pPr>
        <w:pStyle w:val="Corpsdetexte"/>
      </w:pPr>
      <w:r>
        <w:t>Pour garantir la sécurité juridique de ce système et éviter les reco</w:t>
      </w:r>
      <w:r>
        <w:t>urs judiciaires, le flux de données suit le cheminement suivant :</w:t>
      </w:r>
    </w:p>
    <w:p w:rsidR="00034A2A" w:rsidRDefault="001F2E10">
      <w:pPr>
        <w:pStyle w:val="Corpsdetexte"/>
      </w:pPr>
      <w:r>
        <w:t>[Détection numérique de l'infraction / rapport de terrain]</w:t>
      </w:r>
    </w:p>
    <w:p w:rsidR="00034A2A" w:rsidRDefault="001F2E10">
      <w:pPr>
        <w:pStyle w:val="Corpsdetexte"/>
      </w:pPr>
      <w:r>
        <w:t>↓</w:t>
      </w:r>
    </w:p>
    <w:p w:rsidR="00034A2A" w:rsidRDefault="001F2E10">
      <w:pPr>
        <w:pStyle w:val="Corpsdetexte"/>
      </w:pPr>
      <w:r>
        <w:t>[Enregistrement automatique de la déduction dans la base de données]</w:t>
      </w:r>
    </w:p>
    <w:p w:rsidR="00034A2A" w:rsidRDefault="001F2E10">
      <w:pPr>
        <w:pStyle w:val="Corpsdetexte"/>
      </w:pPr>
      <w:r>
        <w:t>↓</w:t>
      </w:r>
    </w:p>
    <w:p w:rsidR="00034A2A" w:rsidRDefault="001F2E10">
      <w:pPr>
        <w:pStyle w:val="Corpsdetexte"/>
      </w:pPr>
      <w:r>
        <w:t>[Notification numérique automatique au membre (SMS/Email)]</w:t>
      </w:r>
      <w:r>
        <w:t xml:space="preserve"> ──► (Délai de 15 jours pour recours justifié)</w:t>
      </w:r>
    </w:p>
    <w:p w:rsidR="00034A2A" w:rsidRDefault="001F2E10">
      <w:pPr>
        <w:pStyle w:val="Corpsdetexte"/>
      </w:pPr>
      <w:r>
        <w:t>↓</w:t>
      </w:r>
    </w:p>
    <w:p w:rsidR="00034A2A" w:rsidRDefault="001F2E10">
      <w:pPr>
        <w:pStyle w:val="Corpsdetexte"/>
      </w:pPr>
      <w:r>
        <w:t>[Réexamen du recours par le Comité de Gouvernance et de Conformité]</w:t>
      </w:r>
    </w:p>
    <w:p w:rsidR="00034A2A" w:rsidRDefault="001F2E10">
      <w:pPr>
        <w:pStyle w:val="Corpsdetexte"/>
      </w:pPr>
      <w:r>
        <w:t>↓</w:t>
      </w:r>
    </w:p>
    <w:p w:rsidR="00034A2A" w:rsidRDefault="001F2E10">
      <w:pPr>
        <w:pStyle w:val="Corpsdetexte"/>
      </w:pPr>
      <w:r>
        <w:t>[Confirmation ou annulation de la sanction et mise à jour du Dashboard]</w:t>
      </w:r>
    </w:p>
    <w:p w:rsidR="00034A2A" w:rsidRDefault="001F2E10">
      <w:pPr>
        <w:pStyle w:val="Corpsdetexte"/>
      </w:pPr>
      <w:r>
        <w:t>Dispositions juridiques protectrices :</w:t>
      </w:r>
    </w:p>
    <w:p w:rsidR="00034A2A" w:rsidRDefault="001F2E10">
      <w:pPr>
        <w:pStyle w:val="Corpsdetexte"/>
        <w:numPr>
          <w:ilvl w:val="0"/>
          <w:numId w:val="23"/>
        </w:numPr>
        <w:tabs>
          <w:tab w:val="left" w:pos="0"/>
        </w:tabs>
      </w:pPr>
      <w:r>
        <w:t>Droit à la défense : Dès q</w:t>
      </w:r>
      <w:r>
        <w:t>ue le score chute en classe (C) ou (D), le système envoie une notification officielle. Le membre dispose d'un délai légal de 15 jours pour soumettre un recours écrit avec justificatifs objectifs (</w:t>
      </w:r>
      <w:proofErr w:type="gramStart"/>
      <w:r>
        <w:t>ex:</w:t>
      </w:r>
      <w:proofErr w:type="gramEnd"/>
      <w:r>
        <w:t xml:space="preserve"> force majeure, conditions climatiques exceptionnelles do</w:t>
      </w:r>
      <w:r>
        <w:t>cumentées).</w:t>
      </w:r>
    </w:p>
    <w:p w:rsidR="00034A2A" w:rsidRDefault="001F2E10">
      <w:pPr>
        <w:pStyle w:val="Corpsdetexte"/>
        <w:numPr>
          <w:ilvl w:val="0"/>
          <w:numId w:val="23"/>
        </w:numPr>
        <w:tabs>
          <w:tab w:val="left" w:pos="0"/>
        </w:tabs>
      </w:pPr>
      <w:r>
        <w:t>Commission d'arbitrage : Le Comité de Gouvernance (président de la Fédération, conseiller juridique, et représentant du Ministère de l'Agriculture en qualité d'observateur) statue sur les recours dans un délai de 10 jours. Sa décision est défin</w:t>
      </w:r>
      <w:r>
        <w:t>itive et sans appel interne.</w:t>
      </w:r>
    </w:p>
    <w:p w:rsidR="00034A2A" w:rsidRDefault="001F2E10">
      <w:pPr>
        <w:pStyle w:val="Corpsdetexte"/>
        <w:numPr>
          <w:ilvl w:val="0"/>
          <w:numId w:val="23"/>
        </w:numPr>
        <w:tabs>
          <w:tab w:val="left" w:pos="0"/>
        </w:tabs>
      </w:pPr>
      <w:r>
        <w:t>Clause de réhabilitation : Un membre de classe (C) peut récupérer 15 points s'il prouve, via un audit contradictoire à ses frais, qu'il a régularisé sa situation (</w:t>
      </w:r>
      <w:proofErr w:type="gramStart"/>
      <w:r>
        <w:t>ex:</w:t>
      </w:r>
      <w:proofErr w:type="gramEnd"/>
      <w:r>
        <w:t xml:space="preserve"> régularisation CNSS ou obtention d'un nouveau certificat de </w:t>
      </w:r>
      <w:r>
        <w:t>conformité ONSSA).</w:t>
      </w:r>
    </w:p>
    <w:p w:rsidR="00034A2A" w:rsidRDefault="001F2E10">
      <w:pPr>
        <w:pStyle w:val="Corpsdetexte"/>
      </w:pPr>
      <w:r>
        <w:t>Ce règlement a été entièrement approuvé lors de l'Assemblée Générale Ordinaire de la Fédération, tenue le 07 juin 2026. Chaque membre signera un « Engagement légalisé » s'engageant à se soumettre pleinement au système de notation numériq</w:t>
      </w:r>
      <w:r>
        <w:t>ue et à ses résultats comme condition essentielle pour bénéficier des services et avantages offerts par la Fédération.</w:t>
      </w:r>
    </w:p>
    <w:sectPr w:rsidR="00034A2A">
      <w:headerReference w:type="default" r:id="rId7"/>
      <w:pgSz w:w="11906" w:h="16838"/>
      <w:pgMar w:top="1693" w:right="1134" w:bottom="1134" w:left="1134" w:header="1134" w:footer="0" w:gutter="0"/>
      <w:cols w:space="720"/>
      <w:formProt w:val="0"/>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2E10" w:rsidRDefault="001F2E10">
      <w:r>
        <w:separator/>
      </w:r>
    </w:p>
  </w:endnote>
  <w:endnote w:type="continuationSeparator" w:id="0">
    <w:p w:rsidR="001F2E10" w:rsidRDefault="001F2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1"/>
    <w:family w:val="roman"/>
    <w:pitch w:val="variable"/>
  </w:font>
  <w:font w:name="Songti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OpenSymbol">
    <w:altName w:val="Arial Unicode MS"/>
    <w:charset w:val="01"/>
    <w:family w:val="roman"/>
    <w:pitch w:val="variable"/>
  </w:font>
  <w:font w:name="Liberation Mono">
    <w:altName w:val="Courier New"/>
    <w:charset w:val="01"/>
    <w:family w:val="roman"/>
    <w:pitch w:val="variable"/>
  </w:font>
  <w:font w:name="Liberation Sans">
    <w:altName w:val="Arial"/>
    <w:charset w:val="01"/>
    <w:family w:val="roman"/>
    <w:pitch w:val="variable"/>
  </w:font>
  <w:font w:name="PingFang SC">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2E10" w:rsidRDefault="001F2E10">
      <w:r>
        <w:separator/>
      </w:r>
    </w:p>
  </w:footnote>
  <w:footnote w:type="continuationSeparator" w:id="0">
    <w:p w:rsidR="001F2E10" w:rsidRDefault="001F2E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4A2A" w:rsidRDefault="001F2E10">
    <w:pPr>
      <w:pStyle w:val="En-tte"/>
    </w:pPr>
    <w:r>
      <w:rPr>
        <w:noProof/>
        <w:lang w:val="fr-FR" w:eastAsia="fr-FR" w:bidi="ar-SA"/>
      </w:rPr>
      <w:drawing>
        <wp:anchor distT="0" distB="0" distL="0" distR="0" simplePos="0" relativeHeight="6" behindDoc="0" locked="0" layoutInCell="0" allowOverlap="1">
          <wp:simplePos x="0" y="0"/>
          <wp:positionH relativeFrom="column">
            <wp:posOffset>169545</wp:posOffset>
          </wp:positionH>
          <wp:positionV relativeFrom="paragraph">
            <wp:posOffset>-208915</wp:posOffset>
          </wp:positionV>
          <wp:extent cx="1228090" cy="297180"/>
          <wp:effectExtent l="0" t="0" r="0" b="0"/>
          <wp:wrapSquare wrapText="largest"/>
          <wp:docPr id="4"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pic:cNvPicPr>
                    <a:picLocks noChangeAspect="1" noChangeArrowheads="1"/>
                  </pic:cNvPicPr>
                </pic:nvPicPr>
                <pic:blipFill>
                  <a:blip r:embed="rId1"/>
                  <a:stretch>
                    <a:fillRect/>
                  </a:stretch>
                </pic:blipFill>
                <pic:spPr bwMode="auto">
                  <a:xfrm>
                    <a:off x="0" y="0"/>
                    <a:ext cx="1228090" cy="29718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374AF"/>
    <w:multiLevelType w:val="multilevel"/>
    <w:tmpl w:val="70528F42"/>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 w15:restartNumberingAfterBreak="0">
    <w:nsid w:val="107509D0"/>
    <w:multiLevelType w:val="multilevel"/>
    <w:tmpl w:val="613CBBD2"/>
    <w:lvl w:ilvl="0">
      <w:start w:val="1"/>
      <w:numFmt w:val="decimal"/>
      <w:lvlText w:val="%1."/>
      <w:lvlJc w:val="left"/>
      <w:pPr>
        <w:tabs>
          <w:tab w:val="num" w:pos="0"/>
        </w:tabs>
        <w:ind w:left="0"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2" w15:restartNumberingAfterBreak="0">
    <w:nsid w:val="13C0508F"/>
    <w:multiLevelType w:val="multilevel"/>
    <w:tmpl w:val="79BCA94C"/>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15:restartNumberingAfterBreak="0">
    <w:nsid w:val="19156C6C"/>
    <w:multiLevelType w:val="multilevel"/>
    <w:tmpl w:val="95A0B3CC"/>
    <w:lvl w:ilvl="0">
      <w:start w:val="1"/>
      <w:numFmt w:val="bullet"/>
      <w:lvlText w:val=""/>
      <w:lvlJc w:val="left"/>
      <w:pPr>
        <w:tabs>
          <w:tab w:val="num" w:pos="0"/>
        </w:tabs>
        <w:ind w:left="0" w:hanging="283"/>
      </w:pPr>
      <w:rPr>
        <w:rFonts w:ascii="Symbol" w:hAnsi="Symbol" w:cs="Symbol" w:hint="default"/>
      </w:rPr>
    </w:lvl>
    <w:lvl w:ilvl="1">
      <w:start w:val="1"/>
      <w:numFmt w:val="decimal"/>
      <w:lvlText w:val="%2."/>
      <w:lvlJc w:val="left"/>
      <w:pPr>
        <w:tabs>
          <w:tab w:val="num" w:pos="0"/>
        </w:tabs>
        <w:ind w:left="0"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4" w15:restartNumberingAfterBreak="0">
    <w:nsid w:val="1BA377AE"/>
    <w:multiLevelType w:val="multilevel"/>
    <w:tmpl w:val="5EB80DA0"/>
    <w:lvl w:ilvl="0">
      <w:start w:val="1"/>
      <w:numFmt w:val="bullet"/>
      <w:lvlText w:val=""/>
      <w:lvlJc w:val="left"/>
      <w:pPr>
        <w:tabs>
          <w:tab w:val="num" w:pos="0"/>
        </w:tabs>
        <w:ind w:left="0" w:hanging="283"/>
      </w:pPr>
      <w:rPr>
        <w:rFonts w:ascii="Symbol" w:hAnsi="Symbol" w:cs="Symbol" w:hint="default"/>
      </w:rPr>
    </w:lvl>
    <w:lvl w:ilvl="1">
      <w:start w:val="1"/>
      <w:numFmt w:val="decimal"/>
      <w:lvlText w:val="%2."/>
      <w:lvlJc w:val="left"/>
      <w:pPr>
        <w:tabs>
          <w:tab w:val="num" w:pos="0"/>
        </w:tabs>
        <w:ind w:left="0"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5" w15:restartNumberingAfterBreak="0">
    <w:nsid w:val="1BB944C1"/>
    <w:multiLevelType w:val="multilevel"/>
    <w:tmpl w:val="B1660F38"/>
    <w:lvl w:ilvl="0">
      <w:start w:val="1"/>
      <w:numFmt w:val="bullet"/>
      <w:lvlText w:val=""/>
      <w:lvlJc w:val="left"/>
      <w:pPr>
        <w:tabs>
          <w:tab w:val="num" w:pos="0"/>
        </w:tabs>
        <w:ind w:left="0" w:hanging="283"/>
      </w:pPr>
      <w:rPr>
        <w:rFonts w:ascii="Symbol" w:hAnsi="Symbol" w:cs="Symbol" w:hint="default"/>
      </w:rPr>
    </w:lvl>
    <w:lvl w:ilvl="1">
      <w:start w:val="1"/>
      <w:numFmt w:val="decimal"/>
      <w:lvlText w:val="%2."/>
      <w:lvlJc w:val="left"/>
      <w:pPr>
        <w:tabs>
          <w:tab w:val="num" w:pos="0"/>
        </w:tabs>
        <w:ind w:left="0"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6" w15:restartNumberingAfterBreak="0">
    <w:nsid w:val="1CBD26BB"/>
    <w:multiLevelType w:val="multilevel"/>
    <w:tmpl w:val="10E4555C"/>
    <w:lvl w:ilvl="0">
      <w:start w:val="1"/>
      <w:numFmt w:val="bullet"/>
      <w:lvlText w:val=""/>
      <w:lvlJc w:val="left"/>
      <w:pPr>
        <w:tabs>
          <w:tab w:val="num" w:pos="0"/>
        </w:tabs>
        <w:ind w:left="0" w:hanging="283"/>
      </w:pPr>
      <w:rPr>
        <w:rFonts w:ascii="Symbol" w:hAnsi="Symbol" w:cs="Symbol" w:hint="default"/>
      </w:rPr>
    </w:lvl>
    <w:lvl w:ilvl="1">
      <w:start w:val="1"/>
      <w:numFmt w:val="decimal"/>
      <w:lvlText w:val="%2."/>
      <w:lvlJc w:val="left"/>
      <w:pPr>
        <w:tabs>
          <w:tab w:val="num" w:pos="0"/>
        </w:tabs>
        <w:ind w:left="0"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7" w15:restartNumberingAfterBreak="0">
    <w:nsid w:val="248839D8"/>
    <w:multiLevelType w:val="multilevel"/>
    <w:tmpl w:val="94528CAE"/>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8" w15:restartNumberingAfterBreak="0">
    <w:nsid w:val="270C4310"/>
    <w:multiLevelType w:val="multilevel"/>
    <w:tmpl w:val="F6384592"/>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9" w15:restartNumberingAfterBreak="0">
    <w:nsid w:val="27E117E6"/>
    <w:multiLevelType w:val="multilevel"/>
    <w:tmpl w:val="2EA83A5A"/>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0"/>
        </w:tabs>
        <w:ind w:left="0"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0" w15:restartNumberingAfterBreak="0">
    <w:nsid w:val="2DFF4231"/>
    <w:multiLevelType w:val="multilevel"/>
    <w:tmpl w:val="1EE0D34A"/>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1" w15:restartNumberingAfterBreak="0">
    <w:nsid w:val="2EC15D74"/>
    <w:multiLevelType w:val="multilevel"/>
    <w:tmpl w:val="E6B2F74E"/>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2" w15:restartNumberingAfterBreak="0">
    <w:nsid w:val="2F4E7526"/>
    <w:multiLevelType w:val="multilevel"/>
    <w:tmpl w:val="28E890B8"/>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3" w15:restartNumberingAfterBreak="0">
    <w:nsid w:val="3762704E"/>
    <w:multiLevelType w:val="multilevel"/>
    <w:tmpl w:val="7DDAB818"/>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4" w15:restartNumberingAfterBreak="0">
    <w:nsid w:val="3E2713D7"/>
    <w:multiLevelType w:val="multilevel"/>
    <w:tmpl w:val="AF328132"/>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5" w15:restartNumberingAfterBreak="0">
    <w:nsid w:val="405D6C87"/>
    <w:multiLevelType w:val="multilevel"/>
    <w:tmpl w:val="8444A6E4"/>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6" w15:restartNumberingAfterBreak="0">
    <w:nsid w:val="454B18FA"/>
    <w:multiLevelType w:val="multilevel"/>
    <w:tmpl w:val="D0C48E1C"/>
    <w:lvl w:ilvl="0">
      <w:start w:val="1"/>
      <w:numFmt w:val="decimal"/>
      <w:lvlText w:val="%1."/>
      <w:lvlJc w:val="left"/>
      <w:pPr>
        <w:tabs>
          <w:tab w:val="num" w:pos="0"/>
        </w:tabs>
        <w:ind w:left="0"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17" w15:restartNumberingAfterBreak="0">
    <w:nsid w:val="475D00F4"/>
    <w:multiLevelType w:val="multilevel"/>
    <w:tmpl w:val="6F8A867C"/>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0"/>
        </w:tabs>
        <w:ind w:left="0"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18" w15:restartNumberingAfterBreak="0">
    <w:nsid w:val="54F91A1A"/>
    <w:multiLevelType w:val="multilevel"/>
    <w:tmpl w:val="029EDC48"/>
    <w:lvl w:ilvl="0">
      <w:start w:val="1"/>
      <w:numFmt w:val="decimal"/>
      <w:lvlText w:val="%1."/>
      <w:lvlJc w:val="left"/>
      <w:pPr>
        <w:tabs>
          <w:tab w:val="num" w:pos="0"/>
        </w:tabs>
        <w:ind w:left="0"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19" w15:restartNumberingAfterBreak="0">
    <w:nsid w:val="5B2F6356"/>
    <w:multiLevelType w:val="multilevel"/>
    <w:tmpl w:val="6DD4EB40"/>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0"/>
        </w:tabs>
        <w:ind w:left="0"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0" w15:restartNumberingAfterBreak="0">
    <w:nsid w:val="64BF338E"/>
    <w:multiLevelType w:val="multilevel"/>
    <w:tmpl w:val="1C82EB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15:restartNumberingAfterBreak="0">
    <w:nsid w:val="69BD479C"/>
    <w:multiLevelType w:val="multilevel"/>
    <w:tmpl w:val="DC125E00"/>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0"/>
        </w:tabs>
        <w:ind w:left="0"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2" w15:restartNumberingAfterBreak="0">
    <w:nsid w:val="712600DF"/>
    <w:multiLevelType w:val="multilevel"/>
    <w:tmpl w:val="15A6FD08"/>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0"/>
        </w:tabs>
        <w:ind w:left="0"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23" w15:restartNumberingAfterBreak="0">
    <w:nsid w:val="73165B52"/>
    <w:multiLevelType w:val="multilevel"/>
    <w:tmpl w:val="4D96D478"/>
    <w:lvl w:ilvl="0">
      <w:start w:val="1"/>
      <w:numFmt w:val="bullet"/>
      <w:lvlText w:val=""/>
      <w:lvlJc w:val="left"/>
      <w:pPr>
        <w:tabs>
          <w:tab w:val="num" w:pos="0"/>
        </w:tabs>
        <w:ind w:left="0"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5"/>
  </w:num>
  <w:num w:numId="2">
    <w:abstractNumId w:val="1"/>
  </w:num>
  <w:num w:numId="3">
    <w:abstractNumId w:val="23"/>
  </w:num>
  <w:num w:numId="4">
    <w:abstractNumId w:val="18"/>
  </w:num>
  <w:num w:numId="5">
    <w:abstractNumId w:val="11"/>
  </w:num>
  <w:num w:numId="6">
    <w:abstractNumId w:val="5"/>
  </w:num>
  <w:num w:numId="7">
    <w:abstractNumId w:val="3"/>
  </w:num>
  <w:num w:numId="8">
    <w:abstractNumId w:val="6"/>
  </w:num>
  <w:num w:numId="9">
    <w:abstractNumId w:val="4"/>
  </w:num>
  <w:num w:numId="10">
    <w:abstractNumId w:val="2"/>
  </w:num>
  <w:num w:numId="11">
    <w:abstractNumId w:val="9"/>
  </w:num>
  <w:num w:numId="12">
    <w:abstractNumId w:val="22"/>
  </w:num>
  <w:num w:numId="13">
    <w:abstractNumId w:val="19"/>
  </w:num>
  <w:num w:numId="14">
    <w:abstractNumId w:val="17"/>
  </w:num>
  <w:num w:numId="15">
    <w:abstractNumId w:val="21"/>
  </w:num>
  <w:num w:numId="16">
    <w:abstractNumId w:val="16"/>
  </w:num>
  <w:num w:numId="17">
    <w:abstractNumId w:val="12"/>
  </w:num>
  <w:num w:numId="18">
    <w:abstractNumId w:val="7"/>
  </w:num>
  <w:num w:numId="19">
    <w:abstractNumId w:val="13"/>
  </w:num>
  <w:num w:numId="20">
    <w:abstractNumId w:val="0"/>
  </w:num>
  <w:num w:numId="21">
    <w:abstractNumId w:val="10"/>
  </w:num>
  <w:num w:numId="22">
    <w:abstractNumId w:val="8"/>
  </w:num>
  <w:num w:numId="23">
    <w:abstractNumId w:val="14"/>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1"/>
  <w:proofState w:grammar="clean"/>
  <w:defaultTabStop w:val="709"/>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A2A"/>
    <w:rsid w:val="00034A2A"/>
    <w:rsid w:val="001F2E10"/>
    <w:rsid w:val="00874418"/>
    <w:rsid w:val="009D249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644497-4A6C-4102-B682-A3E79EDEE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Songti SC" w:hAnsi="Liberation Serif" w:cs="Arial Unicode MS"/>
        <w:kern w:val="2"/>
        <w:sz w:val="24"/>
        <w:szCs w:val="24"/>
        <w:lang w:val="fr-MA"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overflowPunct w:val="0"/>
    </w:pPr>
  </w:style>
  <w:style w:type="paragraph" w:styleId="Titre1">
    <w:name w:val="heading 1"/>
    <w:basedOn w:val="Heading"/>
    <w:next w:val="Corpsdetexte"/>
    <w:qFormat/>
    <w:pPr>
      <w:outlineLvl w:val="0"/>
    </w:pPr>
    <w:rPr>
      <w:rFonts w:ascii="Liberation Serif" w:eastAsia="Songti SC" w:hAnsi="Liberation Serif"/>
      <w:b/>
      <w:bCs/>
      <w:sz w:val="48"/>
      <w:szCs w:val="48"/>
    </w:rPr>
  </w:style>
  <w:style w:type="paragraph" w:styleId="Titre2">
    <w:name w:val="heading 2"/>
    <w:basedOn w:val="Heading"/>
    <w:next w:val="Corpsdetexte"/>
    <w:qFormat/>
    <w:pPr>
      <w:spacing w:before="200"/>
      <w:outlineLvl w:val="1"/>
    </w:pPr>
    <w:rPr>
      <w:rFonts w:ascii="Liberation Serif" w:eastAsia="Songti SC" w:hAnsi="Liberation Serif"/>
      <w:b/>
      <w:bCs/>
      <w:sz w:val="36"/>
      <w:szCs w:val="36"/>
    </w:rPr>
  </w:style>
  <w:style w:type="paragraph" w:styleId="Titre3">
    <w:name w:val="heading 3"/>
    <w:basedOn w:val="Heading"/>
    <w:next w:val="Corpsdetexte"/>
    <w:qFormat/>
    <w:pPr>
      <w:spacing w:before="140"/>
      <w:outlineLvl w:val="2"/>
    </w:pPr>
    <w:rPr>
      <w:rFonts w:ascii="Liberation Serif" w:eastAsia="Songti SC" w:hAnsi="Liberation Serif"/>
      <w:b/>
      <w:bCs/>
    </w:rPr>
  </w:style>
  <w:style w:type="paragraph" w:styleId="Titre4">
    <w:name w:val="heading 4"/>
    <w:basedOn w:val="Heading"/>
    <w:next w:val="Corpsdetexte"/>
    <w:qFormat/>
    <w:pPr>
      <w:spacing w:before="120"/>
      <w:outlineLvl w:val="3"/>
    </w:pPr>
    <w:rPr>
      <w:rFonts w:ascii="Liberation Serif" w:eastAsia="Songti SC" w:hAnsi="Liberation Serif"/>
      <w:b/>
      <w:bCs/>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Bullets">
    <w:name w:val="Bullets"/>
    <w:qFormat/>
    <w:rPr>
      <w:rFonts w:ascii="OpenSymbol" w:eastAsia="OpenSymbol" w:hAnsi="OpenSymbol" w:cs="OpenSymbol"/>
    </w:rPr>
  </w:style>
  <w:style w:type="character" w:customStyle="1" w:styleId="SourceText">
    <w:name w:val="Source Text"/>
    <w:qFormat/>
    <w:rPr>
      <w:rFonts w:ascii="Liberation Mono" w:eastAsia="Liberation Mono" w:hAnsi="Liberation Mono" w:cs="Liberation Mono"/>
    </w:rPr>
  </w:style>
  <w:style w:type="character" w:customStyle="1" w:styleId="NumberingSymbols">
    <w:name w:val="Numbering Symbols"/>
    <w:qFormat/>
  </w:style>
  <w:style w:type="character" w:styleId="lev">
    <w:name w:val="Strong"/>
    <w:qFormat/>
    <w:rPr>
      <w:b/>
      <w:bCs/>
    </w:rPr>
  </w:style>
  <w:style w:type="paragraph" w:customStyle="1" w:styleId="Heading">
    <w:name w:val="Heading"/>
    <w:basedOn w:val="Normal"/>
    <w:next w:val="Corpsdetexte"/>
    <w:qFormat/>
    <w:pPr>
      <w:keepNext/>
      <w:spacing w:before="240" w:after="120"/>
    </w:pPr>
    <w:rPr>
      <w:rFonts w:ascii="Liberation Sans" w:eastAsia="PingFang SC" w:hAnsi="Liberation Sans"/>
      <w:sz w:val="28"/>
      <w:szCs w:val="28"/>
    </w:rPr>
  </w:style>
  <w:style w:type="paragraph" w:styleId="Corpsdetexte">
    <w:name w:val="Body Text"/>
    <w:basedOn w:val="Normal"/>
    <w:pPr>
      <w:spacing w:after="140" w:line="276" w:lineRule="auto"/>
    </w:pPr>
  </w:style>
  <w:style w:type="paragraph" w:styleId="Liste">
    <w:name w:val="List"/>
    <w:basedOn w:val="Corpsdetexte"/>
  </w:style>
  <w:style w:type="paragraph" w:styleId="Lgende">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PreformattedText">
    <w:name w:val="Preformatted Text"/>
    <w:basedOn w:val="Normal"/>
    <w:qFormat/>
    <w:rPr>
      <w:rFonts w:ascii="Liberation Mono" w:eastAsia="Liberation Mono" w:hAnsi="Liberation Mono" w:cs="Liberation Mono"/>
      <w:sz w:val="20"/>
      <w:szCs w:val="20"/>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paragraph" w:customStyle="1" w:styleId="HeaderandFooter">
    <w:name w:val="Header and Footer"/>
    <w:basedOn w:val="Normal"/>
    <w:qFormat/>
    <w:pPr>
      <w:suppressLineNumbers/>
      <w:tabs>
        <w:tab w:val="center" w:pos="4819"/>
        <w:tab w:val="right" w:pos="9638"/>
      </w:tabs>
    </w:pPr>
  </w:style>
  <w:style w:type="paragraph" w:styleId="En-tte">
    <w:name w:val="head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4720</Words>
  <Characters>25965</Characters>
  <Application>Microsoft Office Word</Application>
  <DocSecurity>0</DocSecurity>
  <Lines>216</Lines>
  <Paragraphs>61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2026-06-21T11:58:00Z</dcterms:created>
  <dcterms:modified xsi:type="dcterms:W3CDTF">2026-06-21T11:58:00Z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2026-06-14T11:43:00Z</dcterms:created>
  <dc:creator/>
  <dc:description/>
  <dc:language>fr-MA</dc:language>
  <cp:lastModifiedBy/>
  <dcterms:modified xsi:type="dcterms:W3CDTF">2026-06-21T00:38:08Z</dcterms:modified>
  <cp:revision>16</cp:revision>
  <dc:subject/>
  <dc:title/>
</cp:coreProperties>
</file>